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30385" w14:textId="77777777" w:rsidR="007E1CDB" w:rsidRPr="00C5188B" w:rsidRDefault="007E1CDB" w:rsidP="00E668BF">
      <w:pPr>
        <w:spacing w:before="240"/>
        <w:jc w:val="center"/>
        <w:rPr>
          <w:rFonts w:cs="Times New Roman"/>
          <w:b/>
        </w:rPr>
      </w:pPr>
      <w:r w:rsidRPr="00C5188B">
        <w:rPr>
          <w:rFonts w:cs="Times New Roman"/>
          <w:b/>
        </w:rPr>
        <w:t>Chapter 5</w:t>
      </w:r>
    </w:p>
    <w:p w14:paraId="1B0AE826" w14:textId="77777777" w:rsidR="007E1CDB" w:rsidRPr="00C5188B" w:rsidRDefault="007E1CDB" w:rsidP="00E668BF">
      <w:pPr>
        <w:spacing w:before="240"/>
        <w:jc w:val="center"/>
        <w:rPr>
          <w:rFonts w:cs="Times New Roman"/>
          <w:b/>
        </w:rPr>
      </w:pPr>
      <w:r w:rsidRPr="00C5188B">
        <w:rPr>
          <w:rFonts w:cs="Times New Roman"/>
          <w:b/>
        </w:rPr>
        <w:t xml:space="preserve">OCCUPANCY </w:t>
      </w:r>
      <w:r w:rsidR="00A427DF">
        <w:rPr>
          <w:rFonts w:cs="Times New Roman"/>
          <w:b/>
        </w:rPr>
        <w:t>STANDARDS</w:t>
      </w:r>
      <w:r w:rsidR="00A427DF" w:rsidRPr="00C5188B">
        <w:rPr>
          <w:rFonts w:cs="Times New Roman"/>
          <w:b/>
        </w:rPr>
        <w:t xml:space="preserve"> </w:t>
      </w:r>
      <w:r w:rsidRPr="00C5188B">
        <w:rPr>
          <w:rFonts w:cs="Times New Roman"/>
          <w:b/>
        </w:rPr>
        <w:t>AND UNIT OFFERS</w:t>
      </w:r>
    </w:p>
    <w:p w14:paraId="0C78C3B0" w14:textId="77777777" w:rsidR="007E1CDB" w:rsidRPr="00C5188B" w:rsidRDefault="007E1CDB" w:rsidP="00E668BF">
      <w:pPr>
        <w:spacing w:before="240"/>
        <w:rPr>
          <w:rFonts w:cs="Times New Roman"/>
          <w:b/>
        </w:rPr>
      </w:pPr>
      <w:r w:rsidRPr="00C5188B">
        <w:rPr>
          <w:rFonts w:cs="Times New Roman"/>
          <w:b/>
        </w:rPr>
        <w:t>INTRODUCTION</w:t>
      </w:r>
    </w:p>
    <w:p w14:paraId="0FF7EE2A" w14:textId="77777777" w:rsidR="002121DE" w:rsidRDefault="009C4E79" w:rsidP="00E668BF">
      <w:pPr>
        <w:spacing w:before="120"/>
        <w:rPr>
          <w:rFonts w:cs="Times New Roman"/>
        </w:rPr>
      </w:pPr>
      <w:r w:rsidRPr="00C5188B">
        <w:rPr>
          <w:rFonts w:cs="Times New Roman"/>
        </w:rPr>
        <w:t xml:space="preserve">The PHA </w:t>
      </w:r>
      <w:r w:rsidR="002121DE">
        <w:rPr>
          <w:rFonts w:cs="Times New Roman"/>
        </w:rPr>
        <w:t>must</w:t>
      </w:r>
      <w:r w:rsidR="002121DE" w:rsidRPr="00C5188B">
        <w:rPr>
          <w:rFonts w:cs="Times New Roman"/>
        </w:rPr>
        <w:t xml:space="preserve"> </w:t>
      </w:r>
      <w:r w:rsidRPr="00C5188B">
        <w:rPr>
          <w:rFonts w:cs="Times New Roman"/>
        </w:rPr>
        <w:t xml:space="preserve">establish policies governing </w:t>
      </w:r>
      <w:proofErr w:type="gramStart"/>
      <w:r w:rsidRPr="00C5188B">
        <w:rPr>
          <w:rFonts w:cs="Times New Roman"/>
        </w:rPr>
        <w:t>occupancy</w:t>
      </w:r>
      <w:proofErr w:type="gramEnd"/>
      <w:r w:rsidRPr="00C5188B">
        <w:rPr>
          <w:rFonts w:cs="Times New Roman"/>
        </w:rPr>
        <w:t xml:space="preserve"> of dwelling units and offering dwelling units to qualified families.</w:t>
      </w:r>
    </w:p>
    <w:p w14:paraId="35786FB7" w14:textId="77777777" w:rsidR="002121DE" w:rsidRPr="00C5188B" w:rsidRDefault="002121DE" w:rsidP="00E668BF">
      <w:pPr>
        <w:spacing w:before="120"/>
        <w:rPr>
          <w:rFonts w:cs="Times New Roman"/>
        </w:rPr>
      </w:pPr>
      <w:r>
        <w:rPr>
          <w:rFonts w:cs="Times New Roman"/>
        </w:rPr>
        <w:t>This chapter contains policies for assigning unit size and making unit offers. The PHA’s waiting list and selection policies are contained in Chapter 4. Together, Chapters 4 and 5 of the ACOP comprise the PHA’s Tenant Selection and Assignment Plan</w:t>
      </w:r>
      <w:r w:rsidR="009679A3">
        <w:rPr>
          <w:rFonts w:cs="Times New Roman"/>
        </w:rPr>
        <w:t xml:space="preserve"> (TSAP).</w:t>
      </w:r>
    </w:p>
    <w:p w14:paraId="68628AA2" w14:textId="77777777" w:rsidR="007242E4" w:rsidRPr="00C5188B" w:rsidRDefault="006D3FBE" w:rsidP="00E668BF">
      <w:pPr>
        <w:spacing w:before="120"/>
        <w:rPr>
          <w:rFonts w:cs="Times New Roman"/>
        </w:rPr>
      </w:pPr>
      <w:r>
        <w:rPr>
          <w:rFonts w:cs="Times New Roman"/>
        </w:rPr>
        <w:t>Policies in t</w:t>
      </w:r>
      <w:r w:rsidR="009C4E79" w:rsidRPr="00C5188B">
        <w:rPr>
          <w:rFonts w:cs="Times New Roman"/>
        </w:rPr>
        <w:t xml:space="preserve">his chapter </w:t>
      </w:r>
      <w:r>
        <w:rPr>
          <w:rFonts w:cs="Times New Roman"/>
        </w:rPr>
        <w:t xml:space="preserve">are organized </w:t>
      </w:r>
      <w:r w:rsidR="007242E4" w:rsidRPr="00C5188B">
        <w:rPr>
          <w:rFonts w:cs="Times New Roman"/>
        </w:rPr>
        <w:t>in two parts.</w:t>
      </w:r>
    </w:p>
    <w:p w14:paraId="276D49D0" w14:textId="77777777" w:rsidR="007242E4" w:rsidRPr="00C5188B" w:rsidRDefault="007242E4" w:rsidP="00E668BF">
      <w:pPr>
        <w:spacing w:before="120"/>
        <w:ind w:left="720"/>
        <w:rPr>
          <w:rFonts w:cs="Times New Roman"/>
        </w:rPr>
      </w:pPr>
      <w:r w:rsidRPr="00C5188B">
        <w:rPr>
          <w:rFonts w:cs="Times New Roman"/>
          <w:u w:val="single"/>
        </w:rPr>
        <w:t xml:space="preserve">Part I: Occupancy </w:t>
      </w:r>
      <w:r w:rsidR="00A427DF">
        <w:rPr>
          <w:rFonts w:cs="Times New Roman"/>
          <w:u w:val="single"/>
        </w:rPr>
        <w:t>Standards</w:t>
      </w:r>
      <w:r w:rsidRPr="00C5188B">
        <w:rPr>
          <w:rFonts w:cs="Times New Roman"/>
        </w:rPr>
        <w:t xml:space="preserve">. This part contains </w:t>
      </w:r>
      <w:r w:rsidR="009C4E79" w:rsidRPr="00C5188B">
        <w:rPr>
          <w:rFonts w:cs="Times New Roman"/>
        </w:rPr>
        <w:t>the PHA’s standards for determining the appropriate unit size for families of different sizes</w:t>
      </w:r>
      <w:r w:rsidR="00BD6439">
        <w:rPr>
          <w:rFonts w:cs="Times New Roman"/>
        </w:rPr>
        <w:t>, compositions,</w:t>
      </w:r>
      <w:r w:rsidR="009C4E79" w:rsidRPr="00C5188B">
        <w:rPr>
          <w:rFonts w:cs="Times New Roman"/>
        </w:rPr>
        <w:t xml:space="preserve"> and types.</w:t>
      </w:r>
    </w:p>
    <w:p w14:paraId="26B565B0" w14:textId="77777777" w:rsidR="009C4E79" w:rsidRPr="00C5188B" w:rsidRDefault="007242E4" w:rsidP="00C5188B">
      <w:pPr>
        <w:spacing w:before="120"/>
        <w:ind w:left="720"/>
        <w:rPr>
          <w:rFonts w:cs="Times New Roman"/>
        </w:rPr>
      </w:pPr>
      <w:r w:rsidRPr="00C5188B">
        <w:rPr>
          <w:rFonts w:cs="Times New Roman"/>
          <w:u w:val="single"/>
        </w:rPr>
        <w:t>Part II: Unit Offers</w:t>
      </w:r>
      <w:r w:rsidRPr="00C5188B">
        <w:rPr>
          <w:rFonts w:cs="Times New Roman"/>
        </w:rPr>
        <w:t xml:space="preserve">. </w:t>
      </w:r>
      <w:r w:rsidR="009C4E79" w:rsidRPr="00C5188B">
        <w:rPr>
          <w:rFonts w:cs="Times New Roman"/>
        </w:rPr>
        <w:t>Th</w:t>
      </w:r>
      <w:r w:rsidRPr="00C5188B">
        <w:rPr>
          <w:rFonts w:cs="Times New Roman"/>
        </w:rPr>
        <w:t>is part contains</w:t>
      </w:r>
      <w:r w:rsidR="009C4E79" w:rsidRPr="00C5188B">
        <w:rPr>
          <w:rFonts w:cs="Times New Roman"/>
        </w:rPr>
        <w:t xml:space="preserve"> the PHA’s policies for making unit offers and</w:t>
      </w:r>
      <w:r w:rsidRPr="00C5188B">
        <w:rPr>
          <w:rFonts w:cs="Times New Roman"/>
        </w:rPr>
        <w:t xml:space="preserve"> describes</w:t>
      </w:r>
      <w:r w:rsidR="009C4E79" w:rsidRPr="00C5188B">
        <w:rPr>
          <w:rFonts w:cs="Times New Roman"/>
        </w:rPr>
        <w:t xml:space="preserve"> actions to be taken when unit offers are refused.</w:t>
      </w:r>
    </w:p>
    <w:p w14:paraId="180AE276" w14:textId="77777777" w:rsidR="009C4E79" w:rsidRPr="00C5188B" w:rsidRDefault="009C4E79" w:rsidP="00E668BF">
      <w:pPr>
        <w:spacing w:before="240"/>
        <w:jc w:val="center"/>
        <w:rPr>
          <w:rFonts w:cs="Times New Roman"/>
          <w:b/>
        </w:rPr>
      </w:pPr>
      <w:r w:rsidRPr="00C5188B">
        <w:rPr>
          <w:rFonts w:cs="Times New Roman"/>
          <w:b/>
        </w:rPr>
        <w:t xml:space="preserve">PART I: OCCUPANCY </w:t>
      </w:r>
      <w:r w:rsidR="00A427DF">
        <w:rPr>
          <w:rFonts w:cs="Times New Roman"/>
          <w:b/>
        </w:rPr>
        <w:t>STANDARDS</w:t>
      </w:r>
    </w:p>
    <w:p w14:paraId="749E9451" w14:textId="77777777" w:rsidR="009C4E79" w:rsidRPr="00C5188B" w:rsidRDefault="009C4E79" w:rsidP="00E668BF">
      <w:pPr>
        <w:spacing w:before="240"/>
        <w:rPr>
          <w:rFonts w:cs="Times New Roman"/>
          <w:b/>
        </w:rPr>
      </w:pPr>
      <w:r w:rsidRPr="00C5188B">
        <w:rPr>
          <w:rFonts w:cs="Times New Roman"/>
          <w:b/>
        </w:rPr>
        <w:t>5-I.A. OVERVIEW</w:t>
      </w:r>
    </w:p>
    <w:p w14:paraId="02ACE443" w14:textId="77777777" w:rsidR="009C4E79" w:rsidRPr="00C5188B" w:rsidRDefault="009C4E79" w:rsidP="00E668BF">
      <w:pPr>
        <w:spacing w:before="120"/>
        <w:rPr>
          <w:rFonts w:cs="Times New Roman"/>
        </w:rPr>
      </w:pPr>
      <w:r w:rsidRPr="00C5188B">
        <w:rPr>
          <w:rFonts w:cs="Times New Roman"/>
        </w:rPr>
        <w:t xml:space="preserve">Occupancy </w:t>
      </w:r>
      <w:r w:rsidR="00A427DF">
        <w:rPr>
          <w:rFonts w:cs="Times New Roman"/>
        </w:rPr>
        <w:t>standards</w:t>
      </w:r>
      <w:r w:rsidRPr="00C5188B">
        <w:rPr>
          <w:rFonts w:cs="Times New Roman"/>
        </w:rPr>
        <w:t xml:space="preserve"> are established by the PHA to ensure that units are occupied by families of the appropriate size. This policy maintains the maximum usefulness of the units, while preserving them from </w:t>
      </w:r>
      <w:r w:rsidR="00BD6439">
        <w:rPr>
          <w:rFonts w:cs="Times New Roman"/>
        </w:rPr>
        <w:t xml:space="preserve">underutilization or from </w:t>
      </w:r>
      <w:r w:rsidRPr="00C5188B">
        <w:rPr>
          <w:rFonts w:cs="Times New Roman"/>
        </w:rPr>
        <w:t xml:space="preserve">excessive wear and tear </w:t>
      </w:r>
      <w:r w:rsidR="00BD6439">
        <w:rPr>
          <w:rFonts w:cs="Times New Roman"/>
        </w:rPr>
        <w:t>due to overcrowding</w:t>
      </w:r>
      <w:r w:rsidRPr="00C5188B">
        <w:rPr>
          <w:rFonts w:cs="Times New Roman"/>
        </w:rPr>
        <w:t xml:space="preserve">. </w:t>
      </w:r>
      <w:r w:rsidR="000D167B" w:rsidRPr="00C5188B">
        <w:rPr>
          <w:rFonts w:cs="Times New Roman"/>
        </w:rPr>
        <w:t>Part I of t</w:t>
      </w:r>
      <w:r w:rsidRPr="00C5188B">
        <w:rPr>
          <w:rFonts w:cs="Times New Roman"/>
        </w:rPr>
        <w:t xml:space="preserve">his </w:t>
      </w:r>
      <w:r w:rsidR="000D167B" w:rsidRPr="00C5188B">
        <w:rPr>
          <w:rFonts w:cs="Times New Roman"/>
        </w:rPr>
        <w:t>c</w:t>
      </w:r>
      <w:r w:rsidRPr="00C5188B">
        <w:rPr>
          <w:rFonts w:cs="Times New Roman"/>
        </w:rPr>
        <w:t xml:space="preserve">hapter explains the </w:t>
      </w:r>
      <w:r w:rsidR="000D167B" w:rsidRPr="00C5188B">
        <w:rPr>
          <w:rFonts w:cs="Times New Roman"/>
        </w:rPr>
        <w:t>o</w:t>
      </w:r>
      <w:r w:rsidRPr="00C5188B">
        <w:rPr>
          <w:rFonts w:cs="Times New Roman"/>
        </w:rPr>
        <w:t xml:space="preserve">ccupancy </w:t>
      </w:r>
      <w:r w:rsidR="00A427DF">
        <w:rPr>
          <w:rFonts w:cs="Times New Roman"/>
        </w:rPr>
        <w:t>standards</w:t>
      </w:r>
      <w:r w:rsidR="00AA1101">
        <w:rPr>
          <w:rFonts w:cs="Times New Roman"/>
        </w:rPr>
        <w:t xml:space="preserve">. These </w:t>
      </w:r>
      <w:r w:rsidR="00A427DF">
        <w:rPr>
          <w:rFonts w:cs="Times New Roman"/>
        </w:rPr>
        <w:t>standards</w:t>
      </w:r>
      <w:r w:rsidR="00AA1101">
        <w:rPr>
          <w:rFonts w:cs="Times New Roman"/>
        </w:rPr>
        <w:t xml:space="preserve"> describe the methodology and factors the PHA will use to determine </w:t>
      </w:r>
      <w:r w:rsidR="007B10B4">
        <w:rPr>
          <w:rFonts w:cs="Times New Roman"/>
        </w:rPr>
        <w:t xml:space="preserve">the </w:t>
      </w:r>
      <w:r w:rsidR="00AA1101">
        <w:rPr>
          <w:rFonts w:cs="Times New Roman"/>
        </w:rPr>
        <w:t>siz</w:t>
      </w:r>
      <w:r w:rsidR="00A427DF">
        <w:rPr>
          <w:rFonts w:cs="Times New Roman"/>
        </w:rPr>
        <w:t xml:space="preserve">e unit </w:t>
      </w:r>
      <w:r w:rsidR="007B10B4">
        <w:rPr>
          <w:rFonts w:cs="Times New Roman"/>
        </w:rPr>
        <w:t xml:space="preserve">for which a </w:t>
      </w:r>
      <w:r w:rsidR="00A427DF">
        <w:rPr>
          <w:rFonts w:cs="Times New Roman"/>
        </w:rPr>
        <w:t>family qualifies</w:t>
      </w:r>
      <w:r w:rsidR="00C5188B">
        <w:rPr>
          <w:rFonts w:cs="Times New Roman"/>
        </w:rPr>
        <w:t xml:space="preserve"> </w:t>
      </w:r>
      <w:r w:rsidR="00A427DF">
        <w:rPr>
          <w:rFonts w:cs="Times New Roman"/>
        </w:rPr>
        <w:t>and includes</w:t>
      </w:r>
      <w:r w:rsidR="00C5188B">
        <w:rPr>
          <w:rFonts w:cs="Times New Roman"/>
        </w:rPr>
        <w:t xml:space="preserve"> the identification of the m</w:t>
      </w:r>
      <w:r w:rsidRPr="00C5188B">
        <w:rPr>
          <w:rFonts w:cs="Times New Roman"/>
        </w:rPr>
        <w:t xml:space="preserve">inimum and maximum </w:t>
      </w:r>
      <w:r w:rsidR="00C5188B">
        <w:rPr>
          <w:rFonts w:cs="Times New Roman"/>
        </w:rPr>
        <w:t xml:space="preserve">number of household members for each </w:t>
      </w:r>
      <w:r w:rsidRPr="00C5188B">
        <w:rPr>
          <w:rFonts w:cs="Times New Roman"/>
        </w:rPr>
        <w:t>unit size</w:t>
      </w:r>
      <w:r w:rsidR="00A427DF">
        <w:rPr>
          <w:rFonts w:cs="Times New Roman"/>
        </w:rPr>
        <w:t xml:space="preserve">. This part also identifies circumstances under which </w:t>
      </w:r>
      <w:r w:rsidRPr="00C5188B">
        <w:rPr>
          <w:rFonts w:cs="Times New Roman"/>
        </w:rPr>
        <w:t>a</w:t>
      </w:r>
      <w:r w:rsidR="00A427DF">
        <w:rPr>
          <w:rFonts w:cs="Times New Roman"/>
        </w:rPr>
        <w:t>n exception to the occupancy standards may be approved.</w:t>
      </w:r>
    </w:p>
    <w:p w14:paraId="3DBD8321" w14:textId="77777777" w:rsidR="000D167B" w:rsidRPr="00C5188B" w:rsidRDefault="00E668BF" w:rsidP="00E668BF">
      <w:pPr>
        <w:spacing w:before="240"/>
        <w:rPr>
          <w:rFonts w:cs="Times New Roman"/>
          <w:b/>
        </w:rPr>
      </w:pPr>
      <w:r>
        <w:rPr>
          <w:rFonts w:cs="Times New Roman"/>
          <w:b/>
        </w:rPr>
        <w:br w:type="page"/>
      </w:r>
      <w:r w:rsidR="000D167B" w:rsidRPr="00C5188B">
        <w:rPr>
          <w:rFonts w:cs="Times New Roman"/>
          <w:b/>
        </w:rPr>
        <w:lastRenderedPageBreak/>
        <w:t>5-I.B. DETERMINING UNIT SIZE</w:t>
      </w:r>
    </w:p>
    <w:p w14:paraId="2A5C69F3" w14:textId="77777777" w:rsidR="00777695" w:rsidRPr="00C5188B" w:rsidRDefault="00777695" w:rsidP="00E668BF">
      <w:pPr>
        <w:spacing w:before="120"/>
        <w:rPr>
          <w:rFonts w:cs="Times New Roman"/>
        </w:rPr>
      </w:pPr>
      <w:r w:rsidRPr="00C5188B">
        <w:rPr>
          <w:rFonts w:cs="Times New Roman"/>
        </w:rPr>
        <w:t xml:space="preserve">In selecting a family to occupy a particular unit, the PHA may match characteristics of </w:t>
      </w:r>
      <w:r w:rsidR="005968E5" w:rsidRPr="00C5188B">
        <w:rPr>
          <w:rFonts w:cs="Times New Roman"/>
        </w:rPr>
        <w:t xml:space="preserve">the </w:t>
      </w:r>
      <w:r w:rsidRPr="00C5188B">
        <w:rPr>
          <w:rFonts w:cs="Times New Roman"/>
        </w:rPr>
        <w:t xml:space="preserve">family with the type of unit available, for example, number of bedrooms </w:t>
      </w:r>
      <w:r w:rsidR="007242E4" w:rsidRPr="00C5188B">
        <w:rPr>
          <w:rFonts w:cs="Times New Roman"/>
        </w:rPr>
        <w:t>[</w:t>
      </w:r>
      <w:r w:rsidRPr="00C5188B">
        <w:rPr>
          <w:rFonts w:cs="Times New Roman"/>
        </w:rPr>
        <w:t>24 CFR 960.206(c)</w:t>
      </w:r>
      <w:r w:rsidR="007242E4" w:rsidRPr="00C5188B">
        <w:rPr>
          <w:rFonts w:cs="Times New Roman"/>
        </w:rPr>
        <w:t>].</w:t>
      </w:r>
    </w:p>
    <w:p w14:paraId="36595B68" w14:textId="77777777" w:rsidR="000D167B" w:rsidRPr="00C5188B" w:rsidRDefault="000D167B" w:rsidP="00E668BF">
      <w:pPr>
        <w:spacing w:before="120"/>
        <w:rPr>
          <w:rFonts w:cs="Times New Roman"/>
        </w:rPr>
      </w:pPr>
      <w:r w:rsidRPr="00C5188B">
        <w:rPr>
          <w:rFonts w:cs="Times New Roman"/>
        </w:rPr>
        <w:t xml:space="preserve">HUD does not specify the number of </w:t>
      </w:r>
      <w:proofErr w:type="gramStart"/>
      <w:r w:rsidRPr="00C5188B">
        <w:rPr>
          <w:rFonts w:cs="Times New Roman"/>
        </w:rPr>
        <w:t>persons</w:t>
      </w:r>
      <w:proofErr w:type="gramEnd"/>
      <w:r w:rsidRPr="00C5188B">
        <w:rPr>
          <w:rFonts w:cs="Times New Roman"/>
        </w:rPr>
        <w:t xml:space="preserve"> who may live in public housing units of various sizes. PHAs are permitted to develop appropriate occupancy standards </w:t>
      </w:r>
      <w:proofErr w:type="gramStart"/>
      <w:r w:rsidRPr="00C5188B">
        <w:rPr>
          <w:rFonts w:cs="Times New Roman"/>
        </w:rPr>
        <w:t>as long as</w:t>
      </w:r>
      <w:proofErr w:type="gramEnd"/>
      <w:r w:rsidRPr="00C5188B">
        <w:rPr>
          <w:rFonts w:cs="Times New Roman"/>
        </w:rPr>
        <w:t xml:space="preserve"> the standards do not have the effect of discriminating against families with children </w:t>
      </w:r>
      <w:r w:rsidR="007242E4" w:rsidRPr="00C5188B">
        <w:rPr>
          <w:rFonts w:cs="Times New Roman"/>
        </w:rPr>
        <w:t>[</w:t>
      </w:r>
      <w:r w:rsidRPr="00C5188B">
        <w:rPr>
          <w:rFonts w:cs="Times New Roman"/>
        </w:rPr>
        <w:t>PH Occ GB, p. 62</w:t>
      </w:r>
      <w:r w:rsidR="007242E4" w:rsidRPr="00C5188B">
        <w:rPr>
          <w:rFonts w:cs="Times New Roman"/>
        </w:rPr>
        <w:t>].</w:t>
      </w:r>
    </w:p>
    <w:p w14:paraId="1D146D3D" w14:textId="77777777" w:rsidR="00696C8B" w:rsidRPr="00C5188B" w:rsidRDefault="00A427DF" w:rsidP="00E668BF">
      <w:pPr>
        <w:spacing w:before="120"/>
        <w:rPr>
          <w:rFonts w:cs="Times New Roman"/>
        </w:rPr>
      </w:pPr>
      <w:r>
        <w:rPr>
          <w:rFonts w:cs="Times New Roman"/>
        </w:rPr>
        <w:t>Although the PHA does determine the size of unit the family qualifies for under the occupancy standards, t</w:t>
      </w:r>
      <w:r w:rsidR="00FB410C" w:rsidRPr="00C5188B">
        <w:rPr>
          <w:rFonts w:cs="Times New Roman"/>
        </w:rPr>
        <w:t>he PHA does not determine who shares a bedroom/s</w:t>
      </w:r>
      <w:r w:rsidR="00696C8B" w:rsidRPr="00C5188B">
        <w:rPr>
          <w:rFonts w:cs="Times New Roman"/>
        </w:rPr>
        <w:t>leeping room.</w:t>
      </w:r>
    </w:p>
    <w:p w14:paraId="33AF8970" w14:textId="77777777" w:rsidR="0084642E" w:rsidRPr="00C5188B" w:rsidRDefault="00FB410C" w:rsidP="00E668BF">
      <w:pPr>
        <w:spacing w:before="120"/>
        <w:rPr>
          <w:rFonts w:cs="Times New Roman"/>
        </w:rPr>
      </w:pPr>
      <w:r w:rsidRPr="00C5188B">
        <w:rPr>
          <w:rFonts w:cs="Times New Roman"/>
        </w:rPr>
        <w:t xml:space="preserve">The PHA’s </w:t>
      </w:r>
      <w:r w:rsidR="00696C8B" w:rsidRPr="00C5188B">
        <w:rPr>
          <w:rFonts w:cs="Times New Roman"/>
        </w:rPr>
        <w:t>o</w:t>
      </w:r>
      <w:r w:rsidRPr="00C5188B">
        <w:rPr>
          <w:rFonts w:cs="Times New Roman"/>
        </w:rPr>
        <w:t xml:space="preserve">ccupancy standards for determining unit size </w:t>
      </w:r>
      <w:r w:rsidR="0084642E" w:rsidRPr="00C5188B">
        <w:rPr>
          <w:rFonts w:cs="Times New Roman"/>
        </w:rPr>
        <w:t>must</w:t>
      </w:r>
      <w:r w:rsidRPr="00C5188B">
        <w:rPr>
          <w:rFonts w:cs="Times New Roman"/>
        </w:rPr>
        <w:t xml:space="preserve"> be applied in a manner consistent with </w:t>
      </w:r>
      <w:r w:rsidR="00696C8B" w:rsidRPr="00C5188B">
        <w:rPr>
          <w:rFonts w:cs="Times New Roman"/>
        </w:rPr>
        <w:t>f</w:t>
      </w:r>
      <w:r w:rsidRPr="00C5188B">
        <w:rPr>
          <w:rFonts w:cs="Times New Roman"/>
        </w:rPr>
        <w:t xml:space="preserve">air </w:t>
      </w:r>
      <w:r w:rsidR="00696C8B" w:rsidRPr="00C5188B">
        <w:rPr>
          <w:rFonts w:cs="Times New Roman"/>
        </w:rPr>
        <w:t>h</w:t>
      </w:r>
      <w:r w:rsidRPr="00C5188B">
        <w:rPr>
          <w:rFonts w:cs="Times New Roman"/>
        </w:rPr>
        <w:t xml:space="preserve">ousing </w:t>
      </w:r>
      <w:r w:rsidR="00A427DF">
        <w:rPr>
          <w:rFonts w:cs="Times New Roman"/>
        </w:rPr>
        <w:t>requirements</w:t>
      </w:r>
      <w:r w:rsidR="00E668BF">
        <w:rPr>
          <w:rFonts w:cs="Times New Roman"/>
        </w:rPr>
        <w:t>.</w:t>
      </w:r>
    </w:p>
    <w:p w14:paraId="70386414" w14:textId="77777777" w:rsidR="001B7F56" w:rsidRPr="00C5188B" w:rsidRDefault="003F6B9F" w:rsidP="00E668BF">
      <w:pPr>
        <w:pStyle w:val="MarginBulletCharChar"/>
        <w:numPr>
          <w:ilvl w:val="0"/>
          <w:numId w:val="0"/>
        </w:numPr>
        <w:tabs>
          <w:tab w:val="clear" w:pos="360"/>
          <w:tab w:val="clear" w:pos="1440"/>
        </w:tabs>
        <w:ind w:left="720"/>
        <w:rPr>
          <w:u w:val="single"/>
        </w:rPr>
      </w:pPr>
      <w:r w:rsidRPr="00C5188B">
        <w:rPr>
          <w:u w:val="single"/>
        </w:rPr>
        <w:t>PHA Policy</w:t>
      </w:r>
    </w:p>
    <w:p w14:paraId="3E643DAA" w14:textId="77777777" w:rsidR="00E668BF" w:rsidRDefault="003F6B9F" w:rsidP="0008298F">
      <w:pPr>
        <w:pStyle w:val="MarginBulletCharChar"/>
        <w:numPr>
          <w:ilvl w:val="0"/>
          <w:numId w:val="0"/>
        </w:numPr>
        <w:tabs>
          <w:tab w:val="clear" w:pos="360"/>
          <w:tab w:val="clear" w:pos="1440"/>
        </w:tabs>
        <w:ind w:left="720"/>
      </w:pPr>
      <w:r w:rsidRPr="00C5188B">
        <w:t xml:space="preserve">The PHA will use the same occupancy </w:t>
      </w:r>
      <w:r w:rsidR="00A427DF">
        <w:t>standards</w:t>
      </w:r>
      <w:r w:rsidRPr="00C5188B">
        <w:t xml:space="preserve"> for each of its developments.</w:t>
      </w:r>
    </w:p>
    <w:p w14:paraId="269E79E7" w14:textId="77777777" w:rsidR="00CC1F8C" w:rsidRDefault="005D30D8" w:rsidP="0008298F">
      <w:pPr>
        <w:pStyle w:val="MarginBulletCharChar"/>
        <w:numPr>
          <w:ilvl w:val="0"/>
          <w:numId w:val="0"/>
        </w:numPr>
        <w:tabs>
          <w:tab w:val="clear" w:pos="360"/>
          <w:tab w:val="clear" w:pos="1440"/>
        </w:tabs>
        <w:ind w:left="720"/>
      </w:pPr>
      <w:r>
        <w:t>T</w:t>
      </w:r>
      <w:r w:rsidR="00CC1F8C">
        <w:t>he PHA’s occupancy standards</w:t>
      </w:r>
      <w:r>
        <w:t xml:space="preserve"> are as follows</w:t>
      </w:r>
      <w:r w:rsidR="00CC1F8C">
        <w:t>:</w:t>
      </w:r>
    </w:p>
    <w:p w14:paraId="28B74FE9" w14:textId="77777777" w:rsidR="00C55E3A" w:rsidRPr="00C5188B" w:rsidRDefault="00C55E3A" w:rsidP="0008298F">
      <w:pPr>
        <w:pStyle w:val="MarginBulletCharChar"/>
        <w:numPr>
          <w:ilvl w:val="0"/>
          <w:numId w:val="0"/>
        </w:numPr>
        <w:tabs>
          <w:tab w:val="clear" w:pos="360"/>
          <w:tab w:val="clear" w:pos="1440"/>
        </w:tabs>
        <w:ind w:left="1440"/>
      </w:pPr>
      <w:r w:rsidRPr="00C5188B">
        <w:t xml:space="preserve">The PHA will assign one bedroom for each two </w:t>
      </w:r>
      <w:proofErr w:type="gramStart"/>
      <w:r w:rsidRPr="00C5188B">
        <w:t>persons</w:t>
      </w:r>
      <w:proofErr w:type="gramEnd"/>
      <w:r w:rsidRPr="00C5188B">
        <w:t xml:space="preserve"> within the household, except in the following circumstances:</w:t>
      </w:r>
    </w:p>
    <w:p w14:paraId="1B8171F1" w14:textId="77777777" w:rsidR="001672A1" w:rsidRPr="00C5188B" w:rsidRDefault="001672A1" w:rsidP="005D0B3D">
      <w:pPr>
        <w:autoSpaceDE w:val="0"/>
        <w:autoSpaceDN w:val="0"/>
        <w:adjustRightInd w:val="0"/>
        <w:spacing w:before="120"/>
        <w:ind w:left="2160"/>
        <w:rPr>
          <w:rFonts w:cs="Times New Roman"/>
        </w:rPr>
      </w:pPr>
      <w:bookmarkStart w:id="0" w:name="_Hlk489361337"/>
      <w:proofErr w:type="gramStart"/>
      <w:r>
        <w:rPr>
          <w:rFonts w:cs="Times New Roman"/>
        </w:rPr>
        <w:t>P</w:t>
      </w:r>
      <w:r w:rsidRPr="00C5188B">
        <w:rPr>
          <w:rFonts w:cs="Times New Roman"/>
        </w:rPr>
        <w:t>ersons</w:t>
      </w:r>
      <w:proofErr w:type="gramEnd"/>
      <w:r w:rsidRPr="00C5188B">
        <w:rPr>
          <w:rFonts w:cs="Times New Roman"/>
        </w:rPr>
        <w:t xml:space="preserve"> of different generations will not be required to share a bedroom</w:t>
      </w:r>
      <w:r>
        <w:rPr>
          <w:rFonts w:cs="Times New Roman"/>
        </w:rPr>
        <w:t>, except:</w:t>
      </w:r>
    </w:p>
    <w:p w14:paraId="4FFCEB4A" w14:textId="77777777" w:rsidR="001672A1" w:rsidRPr="00A01442" w:rsidRDefault="001672A1" w:rsidP="005D0B3D">
      <w:pPr>
        <w:autoSpaceDE w:val="0"/>
        <w:autoSpaceDN w:val="0"/>
        <w:adjustRightInd w:val="0"/>
        <w:spacing w:before="120"/>
        <w:ind w:left="2880"/>
        <w:rPr>
          <w:rFonts w:cs="Times New Roman"/>
        </w:rPr>
      </w:pPr>
      <w:r>
        <w:rPr>
          <w:rFonts w:cs="Times New Roman"/>
        </w:rPr>
        <w:t>A s</w:t>
      </w:r>
      <w:r w:rsidRPr="00A01442">
        <w:rPr>
          <w:rFonts w:cs="Times New Roman"/>
        </w:rPr>
        <w:t>ingle pregnant woman</w:t>
      </w:r>
      <w:r>
        <w:rPr>
          <w:rFonts w:cs="Times New Roman"/>
        </w:rPr>
        <w:t xml:space="preserve"> with no other household members and a single parent with one child and no other household members </w:t>
      </w:r>
      <w:r w:rsidRPr="00A01442">
        <w:rPr>
          <w:rFonts w:cs="Times New Roman"/>
        </w:rPr>
        <w:t>will be assigned a one-bedroom unit. A</w:t>
      </w:r>
      <w:r>
        <w:rPr>
          <w:rFonts w:cs="Times New Roman"/>
        </w:rPr>
        <w:t>ssuming no other changes in family composition, a</w:t>
      </w:r>
      <w:r w:rsidRPr="00A01442">
        <w:rPr>
          <w:rFonts w:cs="Times New Roman"/>
        </w:rPr>
        <w:t xml:space="preserve">fter the child reaches the age of </w:t>
      </w:r>
      <w:r w:rsidRPr="0005681D">
        <w:rPr>
          <w:rFonts w:cs="Times New Roman"/>
          <w:b/>
        </w:rPr>
        <w:t>[number of]</w:t>
      </w:r>
      <w:r w:rsidRPr="002B3FA6">
        <w:rPr>
          <w:rFonts w:cs="Times New Roman"/>
        </w:rPr>
        <w:t xml:space="preserve"> </w:t>
      </w:r>
      <w:r w:rsidRPr="00A01442">
        <w:rPr>
          <w:rFonts w:cs="Times New Roman"/>
        </w:rPr>
        <w:t>years, the family will be eligible for a transfer to a 2-bedroom unit.</w:t>
      </w:r>
    </w:p>
    <w:p w14:paraId="34DB4D53" w14:textId="77777777" w:rsidR="001672A1" w:rsidRDefault="001672A1" w:rsidP="005D0B3D">
      <w:pPr>
        <w:autoSpaceDE w:val="0"/>
        <w:autoSpaceDN w:val="0"/>
        <w:adjustRightInd w:val="0"/>
        <w:spacing w:before="120"/>
        <w:ind w:left="2160"/>
        <w:rPr>
          <w:rFonts w:cs="Times New Roman"/>
        </w:rPr>
      </w:pPr>
      <w:r>
        <w:rPr>
          <w:rFonts w:cs="Times New Roman"/>
        </w:rPr>
        <w:t>Otherwise, a</w:t>
      </w:r>
      <w:r w:rsidRPr="000F38EB">
        <w:rPr>
          <w:rFonts w:cs="Times New Roman"/>
        </w:rPr>
        <w:t xml:space="preserve">n </w:t>
      </w:r>
      <w:r w:rsidRPr="00A01442">
        <w:rPr>
          <w:rFonts w:cs="Times New Roman"/>
        </w:rPr>
        <w:t>unborn child will not be counted as a person in determining unit size.</w:t>
      </w:r>
    </w:p>
    <w:bookmarkEnd w:id="0"/>
    <w:p w14:paraId="5C324204" w14:textId="77777777" w:rsidR="00C55E3A" w:rsidRPr="00C5188B" w:rsidRDefault="00C55E3A" w:rsidP="0008298F">
      <w:pPr>
        <w:pStyle w:val="MarginBulletCharChar"/>
        <w:numPr>
          <w:ilvl w:val="0"/>
          <w:numId w:val="0"/>
        </w:numPr>
        <w:tabs>
          <w:tab w:val="clear" w:pos="360"/>
          <w:tab w:val="clear" w:pos="1440"/>
        </w:tabs>
        <w:ind w:left="2160"/>
      </w:pPr>
      <w:r w:rsidRPr="00C5188B">
        <w:t xml:space="preserve">Live-in aides will be allocated a separate bedroom. No additional bedrooms </w:t>
      </w:r>
      <w:r w:rsidR="0038632E" w:rsidRPr="00C5188B">
        <w:t xml:space="preserve">will be </w:t>
      </w:r>
      <w:r w:rsidRPr="00C5188B">
        <w:t>provided for the live-in aide’s family.</w:t>
      </w:r>
    </w:p>
    <w:p w14:paraId="0F1B7DA1" w14:textId="77777777" w:rsidR="00C55E3A" w:rsidRPr="00C5188B" w:rsidRDefault="00C55E3A" w:rsidP="0008298F">
      <w:pPr>
        <w:pStyle w:val="MarginBulletCharChar"/>
        <w:numPr>
          <w:ilvl w:val="0"/>
          <w:numId w:val="0"/>
        </w:numPr>
        <w:tabs>
          <w:tab w:val="clear" w:pos="360"/>
          <w:tab w:val="clear" w:pos="1440"/>
        </w:tabs>
        <w:ind w:left="2160"/>
      </w:pPr>
      <w:r w:rsidRPr="00C5188B">
        <w:t xml:space="preserve">Single person families will be allocated </w:t>
      </w:r>
      <w:r w:rsidR="00CC1F8C">
        <w:t xml:space="preserve">a zero or </w:t>
      </w:r>
      <w:r w:rsidRPr="00C5188B">
        <w:t>one bedroom.</w:t>
      </w:r>
    </w:p>
    <w:p w14:paraId="2CAF4BBA" w14:textId="77777777" w:rsidR="00A01442" w:rsidRPr="00A01442" w:rsidRDefault="00A01442" w:rsidP="0008298F">
      <w:pPr>
        <w:pStyle w:val="MarginBulletCharChar"/>
        <w:numPr>
          <w:ilvl w:val="0"/>
          <w:numId w:val="0"/>
        </w:numPr>
        <w:tabs>
          <w:tab w:val="clear" w:pos="360"/>
          <w:tab w:val="clear" w:pos="1440"/>
        </w:tabs>
        <w:ind w:left="2160"/>
      </w:pPr>
      <w:bookmarkStart w:id="1" w:name="_Hlk482104604"/>
      <w:r w:rsidRPr="00A01442">
        <w:t xml:space="preserve">Children related to </w:t>
      </w:r>
      <w:proofErr w:type="gramStart"/>
      <w:r w:rsidRPr="00A01442">
        <w:t>a household member</w:t>
      </w:r>
      <w:proofErr w:type="gramEnd"/>
      <w:r w:rsidRPr="00A01442">
        <w:t xml:space="preserve"> by birth, adoption, or court awarded custody will be considered when determining unit size.</w:t>
      </w:r>
    </w:p>
    <w:p w14:paraId="5BF8E7EC" w14:textId="77777777" w:rsidR="00A01442" w:rsidRPr="00A01442" w:rsidRDefault="00A01442" w:rsidP="0008298F">
      <w:pPr>
        <w:pStyle w:val="MarginBulletCharChar"/>
        <w:numPr>
          <w:ilvl w:val="0"/>
          <w:numId w:val="0"/>
        </w:numPr>
        <w:tabs>
          <w:tab w:val="clear" w:pos="360"/>
          <w:tab w:val="clear" w:pos="1440"/>
        </w:tabs>
        <w:ind w:left="2160"/>
      </w:pPr>
      <w:r w:rsidRPr="00A01442">
        <w:t xml:space="preserve">Foster children will be considered when determining unit size. The family may add foster children to the household </w:t>
      </w:r>
      <w:proofErr w:type="gramStart"/>
      <w:r w:rsidRPr="00A01442">
        <w:t>as long as</w:t>
      </w:r>
      <w:proofErr w:type="gramEnd"/>
      <w:r w:rsidRPr="00A01442">
        <w:t xml:space="preserve"> it does not overcrowd the unit based on the PHA’s occupancy standards.</w:t>
      </w:r>
    </w:p>
    <w:p w14:paraId="76E64244" w14:textId="77777777" w:rsidR="00A01442" w:rsidRPr="00A01442" w:rsidRDefault="00A01442" w:rsidP="0008298F">
      <w:pPr>
        <w:pStyle w:val="MarginBulletCharChar"/>
        <w:numPr>
          <w:ilvl w:val="0"/>
          <w:numId w:val="0"/>
        </w:numPr>
        <w:tabs>
          <w:tab w:val="clear" w:pos="360"/>
          <w:tab w:val="clear" w:pos="1440"/>
        </w:tabs>
        <w:ind w:left="2160"/>
      </w:pPr>
      <w:r w:rsidRPr="00A01442">
        <w:t>Children away at school, but for whom the unit is considered the primary residence, and children temporarily placed outside the home</w:t>
      </w:r>
      <w:r>
        <w:t>,</w:t>
      </w:r>
      <w:r w:rsidRPr="00A01442">
        <w:t xml:space="preserve"> will be considered when determining unit size.</w:t>
      </w:r>
    </w:p>
    <w:p w14:paraId="7A891C5E" w14:textId="77777777" w:rsidR="00A01442" w:rsidRPr="00A01442" w:rsidRDefault="00D87317" w:rsidP="0008298F">
      <w:pPr>
        <w:pStyle w:val="MarginBulletCharChar"/>
        <w:numPr>
          <w:ilvl w:val="0"/>
          <w:numId w:val="0"/>
        </w:numPr>
        <w:tabs>
          <w:tab w:val="clear" w:pos="360"/>
          <w:tab w:val="clear" w:pos="1440"/>
        </w:tabs>
        <w:ind w:left="2160"/>
      </w:pPr>
      <w:r>
        <w:br w:type="page"/>
      </w:r>
      <w:r w:rsidR="00A01442" w:rsidRPr="00A01442">
        <w:lastRenderedPageBreak/>
        <w:t>Children in the process of being adopted will be considered when determining unit size.</w:t>
      </w:r>
    </w:p>
    <w:p w14:paraId="7912311D" w14:textId="77777777" w:rsidR="00A01442" w:rsidRPr="00C5188B" w:rsidRDefault="00A01442" w:rsidP="0008298F">
      <w:pPr>
        <w:pStyle w:val="MarginBulletCharChar"/>
        <w:numPr>
          <w:ilvl w:val="0"/>
          <w:numId w:val="0"/>
        </w:numPr>
        <w:tabs>
          <w:tab w:val="clear" w:pos="360"/>
          <w:tab w:val="clear" w:pos="1440"/>
        </w:tabs>
        <w:ind w:left="2160"/>
      </w:pPr>
      <w:r w:rsidRPr="00A01442">
        <w:t>Children who will live in the unit less than 50 percent of the time will not be considered when determining unit size.</w:t>
      </w:r>
      <w:bookmarkEnd w:id="1"/>
    </w:p>
    <w:p w14:paraId="49F32630" w14:textId="77777777" w:rsidR="00C55E3A" w:rsidRPr="00C5188B" w:rsidRDefault="00C55E3A" w:rsidP="00E668BF">
      <w:pPr>
        <w:pStyle w:val="MarginBulletCharChar"/>
        <w:numPr>
          <w:ilvl w:val="0"/>
          <w:numId w:val="0"/>
        </w:numPr>
        <w:tabs>
          <w:tab w:val="clear" w:pos="360"/>
          <w:tab w:val="clear" w:pos="1440"/>
        </w:tabs>
        <w:spacing w:after="120"/>
        <w:ind w:left="720"/>
      </w:pPr>
      <w:r w:rsidRPr="00C5188B">
        <w:t xml:space="preserve">The PHA will reference the following </w:t>
      </w:r>
      <w:r w:rsidR="00A427DF">
        <w:t>standards</w:t>
      </w:r>
      <w:r w:rsidRPr="00C5188B">
        <w:t xml:space="preserve"> in determining the </w:t>
      </w:r>
      <w:proofErr w:type="gramStart"/>
      <w:r w:rsidRPr="00C5188B">
        <w:t>appropriate unit</w:t>
      </w:r>
      <w:proofErr w:type="gramEnd"/>
      <w:r w:rsidRPr="00C5188B">
        <w:t xml:space="preserve"> bedroom size for a family:</w:t>
      </w:r>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55E3A" w:rsidRPr="00CD2F79" w14:paraId="4D36856A" w14:textId="77777777" w:rsidTr="00CD2F79">
        <w:tc>
          <w:tcPr>
            <w:tcW w:w="2952" w:type="dxa"/>
            <w:tcBorders>
              <w:bottom w:val="single" w:sz="12" w:space="0" w:color="auto"/>
            </w:tcBorders>
            <w:shd w:val="clear" w:color="auto" w:fill="auto"/>
            <w:vAlign w:val="center"/>
          </w:tcPr>
          <w:p w14:paraId="100CD4A2" w14:textId="77777777" w:rsidR="00C55E3A" w:rsidRPr="00CD2F79" w:rsidRDefault="00C55E3A" w:rsidP="00CD2F79">
            <w:pPr>
              <w:autoSpaceDE w:val="0"/>
              <w:autoSpaceDN w:val="0"/>
              <w:adjustRightInd w:val="0"/>
              <w:spacing w:before="60" w:after="60"/>
              <w:jc w:val="center"/>
              <w:rPr>
                <w:rFonts w:cs="Times New Roman"/>
                <w:b/>
              </w:rPr>
            </w:pPr>
            <w:r w:rsidRPr="00CD2F79">
              <w:rPr>
                <w:rFonts w:cs="Times New Roman"/>
                <w:b/>
              </w:rPr>
              <w:t>BEDROOM SIZE</w:t>
            </w:r>
          </w:p>
        </w:tc>
        <w:tc>
          <w:tcPr>
            <w:tcW w:w="2952" w:type="dxa"/>
            <w:tcBorders>
              <w:bottom w:val="single" w:sz="12" w:space="0" w:color="auto"/>
            </w:tcBorders>
            <w:shd w:val="clear" w:color="auto" w:fill="auto"/>
          </w:tcPr>
          <w:p w14:paraId="5746127B" w14:textId="77777777" w:rsidR="00C55E3A" w:rsidRPr="00CD2F79" w:rsidRDefault="00C55E3A" w:rsidP="00CD2F79">
            <w:pPr>
              <w:autoSpaceDE w:val="0"/>
              <w:autoSpaceDN w:val="0"/>
              <w:adjustRightInd w:val="0"/>
              <w:spacing w:before="60" w:after="60"/>
              <w:jc w:val="center"/>
              <w:rPr>
                <w:rFonts w:cs="Times New Roman"/>
                <w:b/>
              </w:rPr>
            </w:pPr>
            <w:r w:rsidRPr="00CD2F79">
              <w:rPr>
                <w:rFonts w:cs="Times New Roman"/>
                <w:b/>
              </w:rPr>
              <w:t>MINIMUM NUMBER OF PERSONS</w:t>
            </w:r>
          </w:p>
        </w:tc>
        <w:tc>
          <w:tcPr>
            <w:tcW w:w="2952" w:type="dxa"/>
            <w:tcBorders>
              <w:bottom w:val="single" w:sz="12" w:space="0" w:color="auto"/>
            </w:tcBorders>
            <w:shd w:val="clear" w:color="auto" w:fill="auto"/>
          </w:tcPr>
          <w:p w14:paraId="363FEB66" w14:textId="77777777" w:rsidR="00C55E3A" w:rsidRPr="00CD2F79" w:rsidRDefault="00C55E3A" w:rsidP="00CD2F79">
            <w:pPr>
              <w:autoSpaceDE w:val="0"/>
              <w:autoSpaceDN w:val="0"/>
              <w:adjustRightInd w:val="0"/>
              <w:spacing w:before="60" w:after="60"/>
              <w:jc w:val="center"/>
              <w:rPr>
                <w:rFonts w:cs="Times New Roman"/>
                <w:b/>
              </w:rPr>
            </w:pPr>
            <w:r w:rsidRPr="00CD2F79">
              <w:rPr>
                <w:rFonts w:cs="Times New Roman"/>
                <w:b/>
              </w:rPr>
              <w:t>MAXIMUM NUMBER OF PERSONS</w:t>
            </w:r>
          </w:p>
        </w:tc>
      </w:tr>
      <w:tr w:rsidR="00C55E3A" w:rsidRPr="00CD2F79" w14:paraId="76BF07FF" w14:textId="77777777" w:rsidTr="00CD2F79">
        <w:tc>
          <w:tcPr>
            <w:tcW w:w="2952" w:type="dxa"/>
            <w:tcBorders>
              <w:top w:val="single" w:sz="12" w:space="0" w:color="auto"/>
            </w:tcBorders>
            <w:shd w:val="clear" w:color="auto" w:fill="auto"/>
          </w:tcPr>
          <w:p w14:paraId="3FA919C9"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0</w:t>
            </w:r>
          </w:p>
        </w:tc>
        <w:tc>
          <w:tcPr>
            <w:tcW w:w="2952" w:type="dxa"/>
            <w:tcBorders>
              <w:top w:val="single" w:sz="12" w:space="0" w:color="auto"/>
            </w:tcBorders>
            <w:shd w:val="clear" w:color="auto" w:fill="auto"/>
          </w:tcPr>
          <w:p w14:paraId="554F0B89"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w:t>
            </w:r>
          </w:p>
        </w:tc>
        <w:tc>
          <w:tcPr>
            <w:tcW w:w="2952" w:type="dxa"/>
            <w:tcBorders>
              <w:top w:val="single" w:sz="12" w:space="0" w:color="auto"/>
            </w:tcBorders>
            <w:shd w:val="clear" w:color="auto" w:fill="auto"/>
          </w:tcPr>
          <w:p w14:paraId="547A669A"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w:t>
            </w:r>
          </w:p>
        </w:tc>
      </w:tr>
      <w:tr w:rsidR="00C55E3A" w:rsidRPr="00CD2F79" w14:paraId="45DD47D5" w14:textId="77777777" w:rsidTr="00CD2F79">
        <w:tc>
          <w:tcPr>
            <w:tcW w:w="2952" w:type="dxa"/>
            <w:shd w:val="clear" w:color="auto" w:fill="auto"/>
          </w:tcPr>
          <w:p w14:paraId="19A2AA9D"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w:t>
            </w:r>
          </w:p>
        </w:tc>
        <w:tc>
          <w:tcPr>
            <w:tcW w:w="2952" w:type="dxa"/>
            <w:shd w:val="clear" w:color="auto" w:fill="auto"/>
          </w:tcPr>
          <w:p w14:paraId="10780EF2"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w:t>
            </w:r>
          </w:p>
        </w:tc>
        <w:tc>
          <w:tcPr>
            <w:tcW w:w="2952" w:type="dxa"/>
            <w:shd w:val="clear" w:color="auto" w:fill="auto"/>
          </w:tcPr>
          <w:p w14:paraId="68E21F72"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2</w:t>
            </w:r>
          </w:p>
        </w:tc>
      </w:tr>
      <w:tr w:rsidR="00C55E3A" w:rsidRPr="00CD2F79" w14:paraId="1EB4C70A" w14:textId="77777777" w:rsidTr="00CD2F79">
        <w:tc>
          <w:tcPr>
            <w:tcW w:w="2952" w:type="dxa"/>
            <w:shd w:val="clear" w:color="auto" w:fill="auto"/>
          </w:tcPr>
          <w:p w14:paraId="5519940A"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2</w:t>
            </w:r>
          </w:p>
        </w:tc>
        <w:tc>
          <w:tcPr>
            <w:tcW w:w="2952" w:type="dxa"/>
            <w:shd w:val="clear" w:color="auto" w:fill="auto"/>
          </w:tcPr>
          <w:p w14:paraId="51511F6B"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2</w:t>
            </w:r>
          </w:p>
        </w:tc>
        <w:tc>
          <w:tcPr>
            <w:tcW w:w="2952" w:type="dxa"/>
            <w:shd w:val="clear" w:color="auto" w:fill="auto"/>
          </w:tcPr>
          <w:p w14:paraId="302F3945"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4</w:t>
            </w:r>
          </w:p>
        </w:tc>
      </w:tr>
      <w:tr w:rsidR="00C55E3A" w:rsidRPr="00CD2F79" w14:paraId="40A9BD14" w14:textId="77777777" w:rsidTr="00CD2F79">
        <w:tc>
          <w:tcPr>
            <w:tcW w:w="2952" w:type="dxa"/>
            <w:shd w:val="clear" w:color="auto" w:fill="auto"/>
          </w:tcPr>
          <w:p w14:paraId="18447C3D"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3</w:t>
            </w:r>
          </w:p>
        </w:tc>
        <w:tc>
          <w:tcPr>
            <w:tcW w:w="2952" w:type="dxa"/>
            <w:shd w:val="clear" w:color="auto" w:fill="auto"/>
          </w:tcPr>
          <w:p w14:paraId="165EED14"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3</w:t>
            </w:r>
          </w:p>
        </w:tc>
        <w:tc>
          <w:tcPr>
            <w:tcW w:w="2952" w:type="dxa"/>
            <w:shd w:val="clear" w:color="auto" w:fill="auto"/>
          </w:tcPr>
          <w:p w14:paraId="52B9E597"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6</w:t>
            </w:r>
          </w:p>
        </w:tc>
      </w:tr>
      <w:tr w:rsidR="00C55E3A" w:rsidRPr="00CD2F79" w14:paraId="2FF146A0" w14:textId="77777777" w:rsidTr="00CD2F79">
        <w:tc>
          <w:tcPr>
            <w:tcW w:w="2952" w:type="dxa"/>
            <w:shd w:val="clear" w:color="auto" w:fill="auto"/>
          </w:tcPr>
          <w:p w14:paraId="4AC77F55"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4</w:t>
            </w:r>
          </w:p>
        </w:tc>
        <w:tc>
          <w:tcPr>
            <w:tcW w:w="2952" w:type="dxa"/>
            <w:shd w:val="clear" w:color="auto" w:fill="auto"/>
          </w:tcPr>
          <w:p w14:paraId="626CBC44"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4</w:t>
            </w:r>
          </w:p>
        </w:tc>
        <w:tc>
          <w:tcPr>
            <w:tcW w:w="2952" w:type="dxa"/>
            <w:shd w:val="clear" w:color="auto" w:fill="auto"/>
          </w:tcPr>
          <w:p w14:paraId="007F551F"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8</w:t>
            </w:r>
          </w:p>
        </w:tc>
      </w:tr>
      <w:tr w:rsidR="00C55E3A" w:rsidRPr="00CD2F79" w14:paraId="33EA1E9E" w14:textId="77777777" w:rsidTr="00CD2F79">
        <w:tc>
          <w:tcPr>
            <w:tcW w:w="2952" w:type="dxa"/>
            <w:shd w:val="clear" w:color="auto" w:fill="auto"/>
          </w:tcPr>
          <w:p w14:paraId="562F4317"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5</w:t>
            </w:r>
          </w:p>
        </w:tc>
        <w:tc>
          <w:tcPr>
            <w:tcW w:w="2952" w:type="dxa"/>
            <w:shd w:val="clear" w:color="auto" w:fill="auto"/>
          </w:tcPr>
          <w:p w14:paraId="6E2D9BF6"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6</w:t>
            </w:r>
          </w:p>
        </w:tc>
        <w:tc>
          <w:tcPr>
            <w:tcW w:w="2952" w:type="dxa"/>
            <w:shd w:val="clear" w:color="auto" w:fill="auto"/>
          </w:tcPr>
          <w:p w14:paraId="66C5235A"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10</w:t>
            </w:r>
          </w:p>
        </w:tc>
      </w:tr>
      <w:tr w:rsidR="00C55E3A" w:rsidRPr="00CD2F79" w14:paraId="62BB4AAD" w14:textId="77777777" w:rsidTr="00CD2F79">
        <w:tc>
          <w:tcPr>
            <w:tcW w:w="2952" w:type="dxa"/>
            <w:shd w:val="clear" w:color="auto" w:fill="auto"/>
          </w:tcPr>
          <w:p w14:paraId="37A574F5"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6</w:t>
            </w:r>
          </w:p>
        </w:tc>
        <w:tc>
          <w:tcPr>
            <w:tcW w:w="2952" w:type="dxa"/>
            <w:shd w:val="clear" w:color="auto" w:fill="auto"/>
          </w:tcPr>
          <w:p w14:paraId="6184A182"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8</w:t>
            </w:r>
          </w:p>
        </w:tc>
        <w:tc>
          <w:tcPr>
            <w:tcW w:w="2952" w:type="dxa"/>
            <w:shd w:val="clear" w:color="auto" w:fill="auto"/>
          </w:tcPr>
          <w:p w14:paraId="3834F582" w14:textId="77777777" w:rsidR="00C55E3A" w:rsidRPr="00CD2F79" w:rsidRDefault="00C55E3A" w:rsidP="00CD2F79">
            <w:pPr>
              <w:autoSpaceDE w:val="0"/>
              <w:autoSpaceDN w:val="0"/>
              <w:adjustRightInd w:val="0"/>
              <w:spacing w:before="60" w:after="60"/>
              <w:jc w:val="center"/>
              <w:rPr>
                <w:rFonts w:cs="Times New Roman"/>
              </w:rPr>
            </w:pPr>
            <w:r w:rsidRPr="00CD2F79">
              <w:rPr>
                <w:rFonts w:cs="Times New Roman"/>
              </w:rPr>
              <w:t>12</w:t>
            </w:r>
          </w:p>
        </w:tc>
      </w:tr>
    </w:tbl>
    <w:p w14:paraId="462CAF81" w14:textId="77777777" w:rsidR="00E668BF" w:rsidRDefault="00E668BF" w:rsidP="00E668BF">
      <w:pPr>
        <w:spacing w:before="240"/>
        <w:rPr>
          <w:rFonts w:cs="Times New Roman"/>
          <w:b/>
        </w:rPr>
      </w:pPr>
    </w:p>
    <w:p w14:paraId="3B55CDD7" w14:textId="77777777" w:rsidR="002870C7" w:rsidRPr="00C5188B" w:rsidRDefault="00E668BF" w:rsidP="00E668BF">
      <w:pPr>
        <w:spacing w:before="240"/>
        <w:rPr>
          <w:rFonts w:cs="Times New Roman"/>
          <w:b/>
        </w:rPr>
      </w:pPr>
      <w:r>
        <w:rPr>
          <w:rFonts w:cs="Times New Roman"/>
          <w:b/>
        </w:rPr>
        <w:br w:type="page"/>
      </w:r>
      <w:r w:rsidR="002870C7" w:rsidRPr="00C5188B">
        <w:rPr>
          <w:rFonts w:cs="Times New Roman"/>
          <w:b/>
        </w:rPr>
        <w:lastRenderedPageBreak/>
        <w:t xml:space="preserve">5-I.C. EXCEPTIONS TO OCCUPANCY </w:t>
      </w:r>
      <w:r w:rsidR="00A427DF">
        <w:rPr>
          <w:rFonts w:cs="Times New Roman"/>
          <w:b/>
        </w:rPr>
        <w:t>STANDARDS</w:t>
      </w:r>
    </w:p>
    <w:p w14:paraId="65C6931C" w14:textId="77777777" w:rsidR="00DD12E9" w:rsidRPr="00C5188B" w:rsidRDefault="00DD12E9" w:rsidP="00E668BF">
      <w:pPr>
        <w:spacing w:before="120"/>
        <w:rPr>
          <w:rFonts w:cs="Times New Roman"/>
          <w:b/>
        </w:rPr>
      </w:pPr>
      <w:r>
        <w:rPr>
          <w:rFonts w:cs="Times New Roman"/>
          <w:b/>
        </w:rPr>
        <w:t>Types of Exceptions</w:t>
      </w:r>
    </w:p>
    <w:p w14:paraId="0E06897E" w14:textId="77777777" w:rsidR="002870C7" w:rsidRPr="00C5188B" w:rsidRDefault="002870C7" w:rsidP="00AE68E1">
      <w:pPr>
        <w:pStyle w:val="MarginBulletCharChar"/>
        <w:numPr>
          <w:ilvl w:val="0"/>
          <w:numId w:val="0"/>
        </w:numPr>
        <w:tabs>
          <w:tab w:val="clear" w:pos="360"/>
          <w:tab w:val="clear" w:pos="1440"/>
        </w:tabs>
        <w:ind w:left="720"/>
        <w:rPr>
          <w:u w:val="single"/>
        </w:rPr>
      </w:pPr>
      <w:r w:rsidRPr="00C5188B">
        <w:rPr>
          <w:u w:val="single"/>
        </w:rPr>
        <w:t>PHA Policy</w:t>
      </w:r>
    </w:p>
    <w:p w14:paraId="2BD564F7" w14:textId="77777777" w:rsidR="00C55765" w:rsidRDefault="002870C7" w:rsidP="00AE68E1">
      <w:pPr>
        <w:pStyle w:val="MarginBulletCharChar"/>
        <w:numPr>
          <w:ilvl w:val="0"/>
          <w:numId w:val="0"/>
        </w:numPr>
        <w:tabs>
          <w:tab w:val="clear" w:pos="360"/>
          <w:tab w:val="clear" w:pos="1440"/>
        </w:tabs>
        <w:ind w:left="720"/>
      </w:pPr>
      <w:r w:rsidRPr="00C5188B">
        <w:t xml:space="preserve">The PHA </w:t>
      </w:r>
      <w:r w:rsidR="00E90A31" w:rsidRPr="00C5188B">
        <w:t>will consider</w:t>
      </w:r>
      <w:r w:rsidR="00973EE0" w:rsidRPr="00C5188B">
        <w:t xml:space="preserve"> </w:t>
      </w:r>
      <w:r w:rsidRPr="00C5188B">
        <w:t>grant</w:t>
      </w:r>
      <w:r w:rsidR="00E90A31" w:rsidRPr="00C5188B">
        <w:t>ing</w:t>
      </w:r>
      <w:r w:rsidRPr="00C5188B">
        <w:t xml:space="preserve"> exceptions </w:t>
      </w:r>
      <w:r w:rsidR="005D30D8">
        <w:t>to</w:t>
      </w:r>
      <w:r w:rsidR="005D30D8" w:rsidRPr="00C5188B">
        <w:t xml:space="preserve"> </w:t>
      </w:r>
      <w:r w:rsidRPr="00C5188B">
        <w:t xml:space="preserve">the </w:t>
      </w:r>
      <w:r w:rsidR="008E1A4F" w:rsidRPr="00C5188B">
        <w:t xml:space="preserve">occupancy </w:t>
      </w:r>
      <w:r w:rsidR="00A427DF">
        <w:t>standards</w:t>
      </w:r>
      <w:r w:rsidRPr="00C5188B">
        <w:t xml:space="preserve"> </w:t>
      </w:r>
      <w:r w:rsidR="00CC1F8C">
        <w:t xml:space="preserve">at the family’s request </w:t>
      </w:r>
      <w:r w:rsidR="00E90A31" w:rsidRPr="00C5188B">
        <w:t>if</w:t>
      </w:r>
      <w:r w:rsidRPr="00C5188B">
        <w:t xml:space="preserve"> the PHA determines the exception </w:t>
      </w:r>
      <w:r w:rsidR="00E90A31" w:rsidRPr="00C5188B">
        <w:t>is</w:t>
      </w:r>
      <w:r w:rsidRPr="00C5188B">
        <w:t xml:space="preserve"> justified by the relationship, age, sex, health or disability of family members, or other </w:t>
      </w:r>
      <w:r w:rsidR="005D30D8">
        <w:t>personal</w:t>
      </w:r>
      <w:r w:rsidR="005D30D8" w:rsidRPr="00C5188B">
        <w:t xml:space="preserve"> </w:t>
      </w:r>
      <w:r w:rsidRPr="00C5188B">
        <w:t>circumstances</w:t>
      </w:r>
      <w:r w:rsidR="005D30D8">
        <w:t>.</w:t>
      </w:r>
      <w:r w:rsidR="00711E02">
        <w:t xml:space="preserve"> </w:t>
      </w:r>
    </w:p>
    <w:p w14:paraId="348F286E" w14:textId="77777777" w:rsidR="00C55765" w:rsidRDefault="00711E02" w:rsidP="00AE68E1">
      <w:pPr>
        <w:pStyle w:val="MarginBulletCharChar"/>
        <w:numPr>
          <w:ilvl w:val="0"/>
          <w:numId w:val="0"/>
        </w:numPr>
        <w:tabs>
          <w:tab w:val="clear" w:pos="360"/>
          <w:tab w:val="clear" w:pos="1440"/>
        </w:tabs>
        <w:ind w:left="720"/>
      </w:pPr>
      <w:r>
        <w:t xml:space="preserve">For example, </w:t>
      </w:r>
      <w:r w:rsidR="00B649B5">
        <w:t xml:space="preserve">an exception may be granted if </w:t>
      </w:r>
      <w:r>
        <w:t>a larger bedroom size is needed for medical e</w:t>
      </w:r>
      <w:r w:rsidR="00DD12E9">
        <w:t xml:space="preserve">quipment due to its size and/or function, or as </w:t>
      </w:r>
      <w:proofErr w:type="gramStart"/>
      <w:r w:rsidR="00DD12E9">
        <w:t>a reasonable</w:t>
      </w:r>
      <w:proofErr w:type="gramEnd"/>
      <w:r w:rsidR="00DD12E9">
        <w:t xml:space="preserve"> accommodation for a person with disabilities.</w:t>
      </w:r>
      <w:r w:rsidR="00C55765">
        <w:t xml:space="preserve"> An exception may also be granted for a smaller bedroom size in cases where the number of household members exceeds the maximum number of </w:t>
      </w:r>
      <w:proofErr w:type="gramStart"/>
      <w:r w:rsidR="00C55765">
        <w:t>persons</w:t>
      </w:r>
      <w:proofErr w:type="gramEnd"/>
      <w:r w:rsidR="00C55765">
        <w:t xml:space="preserve"> allowed for the unit size in which the family resides (according to the chart in Section 5-</w:t>
      </w:r>
      <w:proofErr w:type="gramStart"/>
      <w:r w:rsidR="00C55765">
        <w:t>I.B</w:t>
      </w:r>
      <w:proofErr w:type="gramEnd"/>
      <w:r w:rsidR="00C55765">
        <w:t>) and the family does not want to transfer to a larger size unit.</w:t>
      </w:r>
    </w:p>
    <w:p w14:paraId="730ECF7C" w14:textId="77777777" w:rsidR="004466CB" w:rsidRDefault="004466CB" w:rsidP="00AE68E1">
      <w:pPr>
        <w:pStyle w:val="MarginBulletCharChar"/>
        <w:numPr>
          <w:ilvl w:val="0"/>
          <w:numId w:val="0"/>
        </w:numPr>
        <w:tabs>
          <w:tab w:val="clear" w:pos="360"/>
          <w:tab w:val="clear" w:pos="1440"/>
        </w:tabs>
        <w:ind w:left="720"/>
      </w:pPr>
      <w:r w:rsidRPr="005D30D8">
        <w:t xml:space="preserve">When evaluating exception requests the PHA will </w:t>
      </w:r>
      <w:r w:rsidR="00165ED5">
        <w:t>consider</w:t>
      </w:r>
      <w:r w:rsidRPr="005D30D8">
        <w:t xml:space="preserve"> the size and configuration of the unit. In no case will the PHA grant an exception that is </w:t>
      </w:r>
      <w:r w:rsidR="00165ED5">
        <w:t xml:space="preserve">in </w:t>
      </w:r>
      <w:r w:rsidRPr="005D30D8">
        <w:t xml:space="preserve">violation of local </w:t>
      </w:r>
      <w:r w:rsidR="00B649B5">
        <w:t xml:space="preserve">housing or occupancy </w:t>
      </w:r>
      <w:r w:rsidRPr="005D30D8">
        <w:t>code</w:t>
      </w:r>
      <w:r w:rsidR="007B10B4">
        <w:t>s, regulations</w:t>
      </w:r>
      <w:r w:rsidR="00501AEC">
        <w:t>,</w:t>
      </w:r>
      <w:r w:rsidR="007B10B4">
        <w:t xml:space="preserve"> or laws</w:t>
      </w:r>
      <w:r w:rsidRPr="005D30D8">
        <w:t>.</w:t>
      </w:r>
    </w:p>
    <w:p w14:paraId="1A3ACBD9" w14:textId="77777777" w:rsidR="00DD12E9" w:rsidRPr="004466CB" w:rsidRDefault="004466CB" w:rsidP="00AE68E1">
      <w:pPr>
        <w:pStyle w:val="MarginBulletCharChar"/>
        <w:numPr>
          <w:ilvl w:val="0"/>
          <w:numId w:val="0"/>
        </w:numPr>
        <w:tabs>
          <w:tab w:val="clear" w:pos="360"/>
          <w:tab w:val="clear" w:pos="1440"/>
        </w:tabs>
        <w:ind w:left="720"/>
      </w:pPr>
      <w:r>
        <w:t xml:space="preserve">Requests from applicants </w:t>
      </w:r>
      <w:r w:rsidR="00DD12E9">
        <w:t>to be placed on the waiting list for a unit size smaller than designated by the occupancy standards</w:t>
      </w:r>
      <w:r>
        <w:t xml:space="preserve"> will be approved as long as the unit is not overcrowded according to local code, and the family agrees not to request a transfer for a period of two years from the date of admission</w:t>
      </w:r>
      <w:r w:rsidR="00DC2E74">
        <w:t>,</w:t>
      </w:r>
      <w:r>
        <w:t xml:space="preserve"> </w:t>
      </w:r>
      <w:r w:rsidRPr="004466CB">
        <w:t xml:space="preserve">unless they have a </w:t>
      </w:r>
      <w:r w:rsidR="00B649B5">
        <w:t xml:space="preserve">subsequent </w:t>
      </w:r>
      <w:r w:rsidRPr="004466CB">
        <w:t>change in family size or composition</w:t>
      </w:r>
      <w:r>
        <w:t>.</w:t>
      </w:r>
      <w:r w:rsidR="00DD12E9" w:rsidRPr="004466CB">
        <w:t xml:space="preserve"> </w:t>
      </w:r>
    </w:p>
    <w:p w14:paraId="5CAB0ACA" w14:textId="77777777" w:rsidR="00F65F27" w:rsidRDefault="00F65F27" w:rsidP="00AE68E1">
      <w:pPr>
        <w:pStyle w:val="MarginBulletCharChar"/>
        <w:numPr>
          <w:ilvl w:val="0"/>
          <w:numId w:val="0"/>
        </w:numPr>
        <w:tabs>
          <w:tab w:val="clear" w:pos="360"/>
          <w:tab w:val="clear" w:pos="1440"/>
        </w:tabs>
        <w:ind w:left="720"/>
      </w:pPr>
      <w:r>
        <w:t xml:space="preserve">To prevent vacancies, the PHA may provide an applicant family with a larger unit than the occupancy standards permit. However, in these cases the family must agree to move to a suitable, smaller unit when another family qualifies for the larger unit and there is an appropriate size unit available for the family to </w:t>
      </w:r>
      <w:r w:rsidR="00165ED5">
        <w:t>transfer</w:t>
      </w:r>
      <w:r w:rsidR="00AE68E1">
        <w:t xml:space="preserve"> to.</w:t>
      </w:r>
    </w:p>
    <w:p w14:paraId="28C9C1C0" w14:textId="77777777" w:rsidR="00C35D44" w:rsidRPr="00DD12E9" w:rsidRDefault="00DD12E9" w:rsidP="00AE68E1">
      <w:pPr>
        <w:spacing w:before="120"/>
        <w:rPr>
          <w:rFonts w:cs="Times New Roman"/>
          <w:b/>
        </w:rPr>
      </w:pPr>
      <w:r w:rsidRPr="00DD12E9">
        <w:rPr>
          <w:rFonts w:cs="Times New Roman"/>
          <w:b/>
        </w:rPr>
        <w:t>Processing of Exceptions</w:t>
      </w:r>
    </w:p>
    <w:p w14:paraId="5F1A9879" w14:textId="77777777" w:rsidR="00B722A2" w:rsidRDefault="00F65F27" w:rsidP="00AE68E1">
      <w:pPr>
        <w:pStyle w:val="MarginBulletCharChar"/>
        <w:numPr>
          <w:ilvl w:val="0"/>
          <w:numId w:val="0"/>
        </w:numPr>
        <w:tabs>
          <w:tab w:val="clear" w:pos="360"/>
          <w:tab w:val="clear" w:pos="1440"/>
        </w:tabs>
        <w:ind w:left="720"/>
        <w:rPr>
          <w:u w:val="single"/>
        </w:rPr>
      </w:pPr>
      <w:r w:rsidRPr="00F65F27">
        <w:rPr>
          <w:u w:val="single"/>
        </w:rPr>
        <w:t>PHA Policy</w:t>
      </w:r>
    </w:p>
    <w:p w14:paraId="1A583CDD" w14:textId="77777777" w:rsidR="00A42CF0" w:rsidRDefault="00F65F27" w:rsidP="00AE68E1">
      <w:pPr>
        <w:pStyle w:val="MarginBulletCharChar"/>
        <w:numPr>
          <w:ilvl w:val="0"/>
          <w:numId w:val="0"/>
        </w:numPr>
        <w:tabs>
          <w:tab w:val="clear" w:pos="360"/>
          <w:tab w:val="clear" w:pos="1440"/>
        </w:tabs>
        <w:ind w:left="720"/>
      </w:pPr>
      <w:r>
        <w:t>All requests for exceptions to the occupancy standards must be submitted in writing</w:t>
      </w:r>
      <w:r w:rsidR="00501AEC">
        <w:t>, which may include email</w:t>
      </w:r>
      <w:r>
        <w:t>.</w:t>
      </w:r>
    </w:p>
    <w:p w14:paraId="4623BB22" w14:textId="77777777" w:rsidR="00670805" w:rsidRPr="00AE68E1" w:rsidRDefault="00670805" w:rsidP="00AE68E1">
      <w:pPr>
        <w:pStyle w:val="MarginBulletCharChar"/>
        <w:numPr>
          <w:ilvl w:val="0"/>
          <w:numId w:val="0"/>
        </w:numPr>
        <w:tabs>
          <w:tab w:val="clear" w:pos="360"/>
          <w:tab w:val="clear" w:pos="1440"/>
        </w:tabs>
        <w:ind w:left="720"/>
      </w:pPr>
      <w:r w:rsidRPr="00AE68E1">
        <w:t xml:space="preserve">In the case of a request for exception as a reasonable accommodation, the PHA will encourage the resident to make the request in writing using a reasonable accommodation request form. However, the PHA will consider the exception request any time the resident indicates that </w:t>
      </w:r>
      <w:proofErr w:type="gramStart"/>
      <w:r w:rsidRPr="00AE68E1">
        <w:t>an accommodation</w:t>
      </w:r>
      <w:proofErr w:type="gramEnd"/>
      <w:r w:rsidRPr="00AE68E1">
        <w:t xml:space="preserve"> is needed </w:t>
      </w:r>
      <w:proofErr w:type="gramStart"/>
      <w:r w:rsidRPr="00AE68E1">
        <w:t>whether or not</w:t>
      </w:r>
      <w:proofErr w:type="gramEnd"/>
      <w:r w:rsidRPr="00AE68E1">
        <w:t xml:space="preserve"> a formal written request is submitted.</w:t>
      </w:r>
    </w:p>
    <w:p w14:paraId="63CEE0D0" w14:textId="77777777" w:rsidR="00982D75" w:rsidRDefault="00982D75" w:rsidP="00AE68E1">
      <w:pPr>
        <w:pStyle w:val="MarginBulletCharChar"/>
        <w:numPr>
          <w:ilvl w:val="0"/>
          <w:numId w:val="0"/>
        </w:numPr>
        <w:tabs>
          <w:tab w:val="clear" w:pos="360"/>
          <w:tab w:val="clear" w:pos="1440"/>
        </w:tabs>
        <w:ind w:left="720"/>
      </w:pPr>
      <w:r>
        <w:t>Requests for a larger size unit must explain the need or justification for the larger size unit and must include appropriate documentation. Requests based on health-related reasons must be verified by a knowledgeable professional source, unless the disability and the disability-related request for accommodation is readily apparent or otherwise known.</w:t>
      </w:r>
    </w:p>
    <w:p w14:paraId="1293871F" w14:textId="77777777" w:rsidR="00816EDC" w:rsidRPr="00F65F27" w:rsidRDefault="00816EDC" w:rsidP="00AE68E1">
      <w:pPr>
        <w:pStyle w:val="MarginBulletCharChar"/>
        <w:numPr>
          <w:ilvl w:val="0"/>
          <w:numId w:val="0"/>
        </w:numPr>
        <w:tabs>
          <w:tab w:val="clear" w:pos="360"/>
          <w:tab w:val="clear" w:pos="1440"/>
        </w:tabs>
        <w:ind w:left="720"/>
      </w:pPr>
      <w:r>
        <w:t xml:space="preserve">The PHA will notify the family of its </w:t>
      </w:r>
      <w:r w:rsidR="00725CF4">
        <w:t>decision</w:t>
      </w:r>
      <w:r>
        <w:t xml:space="preserve"> within 10 business days of receiving the family’s request.</w:t>
      </w:r>
    </w:p>
    <w:p w14:paraId="40B377E5" w14:textId="77777777" w:rsidR="00B722A2" w:rsidRPr="00C5188B" w:rsidRDefault="009A78E1" w:rsidP="00AE68E1">
      <w:pPr>
        <w:spacing w:before="240"/>
        <w:jc w:val="center"/>
        <w:rPr>
          <w:rFonts w:cs="Times New Roman"/>
          <w:b/>
        </w:rPr>
      </w:pPr>
      <w:r w:rsidRPr="00C5188B">
        <w:rPr>
          <w:rFonts w:cs="Times New Roman"/>
        </w:rPr>
        <w:br w:type="page"/>
      </w:r>
      <w:r w:rsidR="00F72436" w:rsidRPr="00C5188B">
        <w:rPr>
          <w:rFonts w:cs="Times New Roman"/>
          <w:b/>
        </w:rPr>
        <w:lastRenderedPageBreak/>
        <w:t>PART II: UNIT OFFERS</w:t>
      </w:r>
    </w:p>
    <w:p w14:paraId="400B588B" w14:textId="77777777" w:rsidR="007249FA" w:rsidRPr="00AE68E1" w:rsidRDefault="007249FA" w:rsidP="00AE68E1">
      <w:pPr>
        <w:spacing w:before="120"/>
        <w:jc w:val="center"/>
        <w:rPr>
          <w:rFonts w:cs="Times New Roman"/>
        </w:rPr>
      </w:pPr>
      <w:bookmarkStart w:id="2" w:name="OLE_LINK1"/>
      <w:bookmarkStart w:id="3" w:name="OLE_LINK2"/>
      <w:r w:rsidRPr="00AE68E1">
        <w:rPr>
          <w:rFonts w:cs="Times New Roman"/>
        </w:rPr>
        <w:t>24 CFR 1.4(b)(2)(ii)</w:t>
      </w:r>
      <w:bookmarkEnd w:id="2"/>
      <w:bookmarkEnd w:id="3"/>
      <w:r w:rsidR="00787097" w:rsidRPr="00AE68E1">
        <w:rPr>
          <w:rFonts w:cs="Times New Roman"/>
        </w:rPr>
        <w:t xml:space="preserve">; </w:t>
      </w:r>
      <w:r w:rsidR="00725CF4" w:rsidRPr="00AE68E1">
        <w:rPr>
          <w:rFonts w:cs="Times New Roman"/>
        </w:rPr>
        <w:t xml:space="preserve">24 CFR </w:t>
      </w:r>
      <w:r w:rsidR="00787097" w:rsidRPr="00AE68E1">
        <w:rPr>
          <w:rFonts w:cs="Times New Roman"/>
        </w:rPr>
        <w:t>960.208</w:t>
      </w:r>
    </w:p>
    <w:p w14:paraId="0E50A9DC" w14:textId="77777777" w:rsidR="00F72436" w:rsidRPr="00C5188B" w:rsidRDefault="00F72436" w:rsidP="00CB157C">
      <w:pPr>
        <w:spacing w:before="240"/>
        <w:rPr>
          <w:rFonts w:cs="Times New Roman"/>
          <w:b/>
        </w:rPr>
      </w:pPr>
      <w:r w:rsidRPr="00C5188B">
        <w:rPr>
          <w:rFonts w:cs="Times New Roman"/>
          <w:b/>
        </w:rPr>
        <w:t>5-I</w:t>
      </w:r>
      <w:r w:rsidR="007242E4" w:rsidRPr="00C5188B">
        <w:rPr>
          <w:rFonts w:cs="Times New Roman"/>
          <w:b/>
        </w:rPr>
        <w:t>I</w:t>
      </w:r>
      <w:r w:rsidRPr="00C5188B">
        <w:rPr>
          <w:rFonts w:cs="Times New Roman"/>
          <w:b/>
        </w:rPr>
        <w:t>.A. OVERVIEW</w:t>
      </w:r>
    </w:p>
    <w:p w14:paraId="47911CD6" w14:textId="77777777" w:rsidR="007249FA" w:rsidRPr="00C5188B" w:rsidRDefault="007249FA" w:rsidP="00CB157C">
      <w:pPr>
        <w:spacing w:before="120"/>
        <w:rPr>
          <w:rFonts w:cs="Times New Roman"/>
        </w:rPr>
      </w:pPr>
      <w:r w:rsidRPr="00C5188B">
        <w:rPr>
          <w:rFonts w:cs="Times New Roman"/>
        </w:rPr>
        <w:t>The PHA must assign eligible applicants to dwelling units in accordance with a plan that is consistent with civi</w:t>
      </w:r>
      <w:r w:rsidR="00CB157C">
        <w:rPr>
          <w:rFonts w:cs="Times New Roman"/>
        </w:rPr>
        <w:t>l rights and nondiscrimination</w:t>
      </w:r>
      <w:r w:rsidR="0012734A">
        <w:rPr>
          <w:rFonts w:cs="Times New Roman"/>
        </w:rPr>
        <w:t xml:space="preserve"> laws</w:t>
      </w:r>
      <w:r w:rsidR="00CB157C">
        <w:rPr>
          <w:rFonts w:cs="Times New Roman"/>
        </w:rPr>
        <w:t>.</w:t>
      </w:r>
    </w:p>
    <w:p w14:paraId="250C1543" w14:textId="77777777" w:rsidR="00F72436" w:rsidRPr="00C5188B" w:rsidRDefault="0075367A" w:rsidP="00CB157C">
      <w:pPr>
        <w:spacing w:before="120"/>
        <w:rPr>
          <w:rFonts w:cs="Times New Roman"/>
        </w:rPr>
      </w:pPr>
      <w:r w:rsidRPr="00C5188B">
        <w:rPr>
          <w:rFonts w:cs="Times New Roman"/>
        </w:rPr>
        <w:t xml:space="preserve">In filling an actual or expected vacancy, the PHA </w:t>
      </w:r>
      <w:r w:rsidR="006D3FBE">
        <w:rPr>
          <w:rFonts w:cs="Times New Roman"/>
        </w:rPr>
        <w:t>must</w:t>
      </w:r>
      <w:r w:rsidR="006D3FBE" w:rsidRPr="00C5188B">
        <w:rPr>
          <w:rFonts w:cs="Times New Roman"/>
        </w:rPr>
        <w:t xml:space="preserve"> </w:t>
      </w:r>
      <w:r w:rsidRPr="00C5188B">
        <w:rPr>
          <w:rFonts w:cs="Times New Roman"/>
        </w:rPr>
        <w:t xml:space="preserve">offer the dwelling unit to an applicant in the appropriate </w:t>
      </w:r>
      <w:r w:rsidR="0012734A">
        <w:rPr>
          <w:rFonts w:cs="Times New Roman"/>
        </w:rPr>
        <w:t xml:space="preserve">offer </w:t>
      </w:r>
      <w:r w:rsidRPr="00C5188B">
        <w:rPr>
          <w:rFonts w:cs="Times New Roman"/>
        </w:rPr>
        <w:t>sequence</w:t>
      </w:r>
      <w:r w:rsidR="006077BC" w:rsidRPr="00C5188B">
        <w:rPr>
          <w:rFonts w:cs="Times New Roman"/>
        </w:rPr>
        <w:t xml:space="preserve">. The PHA will offer the unit until it is accepted. This </w:t>
      </w:r>
      <w:r w:rsidR="00EE3FF5" w:rsidRPr="00C5188B">
        <w:rPr>
          <w:rFonts w:cs="Times New Roman"/>
        </w:rPr>
        <w:t>section</w:t>
      </w:r>
      <w:r w:rsidR="006077BC" w:rsidRPr="00C5188B">
        <w:rPr>
          <w:rFonts w:cs="Times New Roman"/>
        </w:rPr>
        <w:t xml:space="preserve"> describes the PHA’s policies </w:t>
      </w:r>
      <w:proofErr w:type="gramStart"/>
      <w:r w:rsidR="006077BC" w:rsidRPr="00C5188B">
        <w:rPr>
          <w:rFonts w:cs="Times New Roman"/>
        </w:rPr>
        <w:t>with regard to</w:t>
      </w:r>
      <w:proofErr w:type="gramEnd"/>
      <w:r w:rsidR="006077BC" w:rsidRPr="00C5188B">
        <w:rPr>
          <w:rFonts w:cs="Times New Roman"/>
        </w:rPr>
        <w:t xml:space="preserve"> the number of </w:t>
      </w:r>
      <w:proofErr w:type="gramStart"/>
      <w:r w:rsidR="006077BC" w:rsidRPr="00C5188B">
        <w:rPr>
          <w:rFonts w:cs="Times New Roman"/>
        </w:rPr>
        <w:t>unit</w:t>
      </w:r>
      <w:proofErr w:type="gramEnd"/>
      <w:r w:rsidR="006077BC" w:rsidRPr="00C5188B">
        <w:rPr>
          <w:rFonts w:cs="Times New Roman"/>
        </w:rPr>
        <w:t xml:space="preserve"> offers that will be made to applicants selected from the waiting list. </w:t>
      </w:r>
      <w:r w:rsidR="00EE3FF5" w:rsidRPr="00C5188B">
        <w:rPr>
          <w:rFonts w:cs="Times New Roman"/>
        </w:rPr>
        <w:t>This section also describes the PHA’s policies for offering units with accessibility features.</w:t>
      </w:r>
    </w:p>
    <w:p w14:paraId="5B9864CF" w14:textId="77777777" w:rsidR="00EE67AC" w:rsidRPr="00EE67AC" w:rsidRDefault="00EE67AC" w:rsidP="00CB157C">
      <w:pPr>
        <w:pStyle w:val="MarginBulletCharChar"/>
        <w:numPr>
          <w:ilvl w:val="0"/>
          <w:numId w:val="0"/>
        </w:numPr>
        <w:tabs>
          <w:tab w:val="clear" w:pos="360"/>
          <w:tab w:val="clear" w:pos="1440"/>
        </w:tabs>
        <w:ind w:left="720"/>
        <w:rPr>
          <w:u w:val="single"/>
        </w:rPr>
      </w:pPr>
      <w:r w:rsidRPr="00EE67AC">
        <w:rPr>
          <w:u w:val="single"/>
        </w:rPr>
        <w:t>PHA Policy</w:t>
      </w:r>
    </w:p>
    <w:p w14:paraId="00603F41" w14:textId="77777777" w:rsidR="0054128F" w:rsidRPr="00C5188B" w:rsidRDefault="0054128F" w:rsidP="00CB157C">
      <w:pPr>
        <w:pStyle w:val="MarginBulletCharChar"/>
        <w:numPr>
          <w:ilvl w:val="0"/>
          <w:numId w:val="0"/>
        </w:numPr>
        <w:tabs>
          <w:tab w:val="clear" w:pos="360"/>
          <w:tab w:val="clear" w:pos="1440"/>
        </w:tabs>
        <w:ind w:left="720"/>
      </w:pPr>
      <w:r w:rsidRPr="00C5188B">
        <w:t>The PHA will maintain a record of units offered, including location, date and circumstances of each offer, each acceptance or rejection, including the reason for the rejection.</w:t>
      </w:r>
    </w:p>
    <w:p w14:paraId="0767633A" w14:textId="77777777" w:rsidR="00DC342C" w:rsidRPr="00C5188B" w:rsidRDefault="00DC342C" w:rsidP="00CB157C">
      <w:pPr>
        <w:spacing w:before="240"/>
        <w:rPr>
          <w:rFonts w:cs="Times New Roman"/>
          <w:b/>
        </w:rPr>
      </w:pPr>
      <w:r w:rsidRPr="00C5188B">
        <w:rPr>
          <w:rFonts w:cs="Times New Roman"/>
          <w:b/>
        </w:rPr>
        <w:t>5-I</w:t>
      </w:r>
      <w:r w:rsidR="00EE67AC">
        <w:rPr>
          <w:rFonts w:cs="Times New Roman"/>
          <w:b/>
        </w:rPr>
        <w:t>I</w:t>
      </w:r>
      <w:r w:rsidRPr="00C5188B">
        <w:rPr>
          <w:rFonts w:cs="Times New Roman"/>
          <w:b/>
        </w:rPr>
        <w:t>.B. NUMBER OF OFFERS</w:t>
      </w:r>
    </w:p>
    <w:p w14:paraId="24566DE8" w14:textId="77777777" w:rsidR="00D063E3" w:rsidRPr="00C5188B" w:rsidRDefault="00D063E3" w:rsidP="00CB157C">
      <w:pPr>
        <w:pStyle w:val="MarginBulletCharChar"/>
        <w:numPr>
          <w:ilvl w:val="0"/>
          <w:numId w:val="0"/>
        </w:numPr>
        <w:tabs>
          <w:tab w:val="clear" w:pos="360"/>
          <w:tab w:val="clear" w:pos="1440"/>
        </w:tabs>
        <w:ind w:left="720"/>
        <w:rPr>
          <w:u w:val="single"/>
        </w:rPr>
      </w:pPr>
      <w:r w:rsidRPr="00C5188B">
        <w:rPr>
          <w:u w:val="single"/>
        </w:rPr>
        <w:t>PHA Policy</w:t>
      </w:r>
    </w:p>
    <w:p w14:paraId="22C32A3A" w14:textId="77777777" w:rsidR="00D063E3" w:rsidRPr="00C5188B" w:rsidRDefault="00D063E3" w:rsidP="00CB157C">
      <w:pPr>
        <w:pStyle w:val="MarginBulletCharChar"/>
        <w:numPr>
          <w:ilvl w:val="0"/>
          <w:numId w:val="0"/>
        </w:numPr>
        <w:tabs>
          <w:tab w:val="clear" w:pos="360"/>
          <w:tab w:val="clear" w:pos="1440"/>
        </w:tabs>
        <w:ind w:left="720"/>
      </w:pPr>
      <w:r w:rsidRPr="00C5188B">
        <w:t>The PHA has adopted a “</w:t>
      </w:r>
      <w:r w:rsidR="00365922">
        <w:t>two</w:t>
      </w:r>
      <w:r w:rsidRPr="00C5188B">
        <w:t>-to-</w:t>
      </w:r>
      <w:r w:rsidR="00365922">
        <w:t>three</w:t>
      </w:r>
      <w:r w:rsidRPr="00C5188B">
        <w:t xml:space="preserve"> offer plan” for offering units to applicants. Under this plan, the PHA will determine how many locations within its jurisdiction have available units of suitable size and type in the appropriate type of project. The number of </w:t>
      </w:r>
      <w:proofErr w:type="gramStart"/>
      <w:r w:rsidRPr="00C5188B">
        <w:t>unit</w:t>
      </w:r>
      <w:proofErr w:type="gramEnd"/>
      <w:r w:rsidRPr="00C5188B">
        <w:t xml:space="preserve"> offers </w:t>
      </w:r>
      <w:r w:rsidR="00EE67AC">
        <w:t>will be</w:t>
      </w:r>
      <w:r w:rsidR="00EE67AC" w:rsidRPr="00C5188B">
        <w:t xml:space="preserve"> </w:t>
      </w:r>
      <w:r w:rsidRPr="00C5188B">
        <w:t>based on the distribution of vacancies. If a suitable unit is available in:</w:t>
      </w:r>
    </w:p>
    <w:p w14:paraId="3437AC34" w14:textId="77777777" w:rsidR="00D063E3" w:rsidRPr="00C5188B" w:rsidRDefault="00EE67AC" w:rsidP="00CB157C">
      <w:pPr>
        <w:pStyle w:val="MarginBulletCharChar"/>
        <w:numPr>
          <w:ilvl w:val="0"/>
          <w:numId w:val="0"/>
        </w:numPr>
        <w:tabs>
          <w:tab w:val="clear" w:pos="360"/>
          <w:tab w:val="clear" w:pos="1440"/>
        </w:tabs>
        <w:ind w:left="1440"/>
      </w:pPr>
      <w:r>
        <w:rPr>
          <w:u w:val="single"/>
        </w:rPr>
        <w:t>Three (3)</w:t>
      </w:r>
      <w:r w:rsidR="00D063E3" w:rsidRPr="00C5188B">
        <w:rPr>
          <w:u w:val="single"/>
        </w:rPr>
        <w:t xml:space="preserve"> or more locations:</w:t>
      </w:r>
      <w:r w:rsidR="00D063E3" w:rsidRPr="00C5188B">
        <w:t xml:space="preserve"> The applicant will be offered a unit in the location with the highest number of vacancies</w:t>
      </w:r>
      <w:r w:rsidR="003F7ABF" w:rsidRPr="00C5188B">
        <w:t>.</w:t>
      </w:r>
      <w:r w:rsidR="00D063E3" w:rsidRPr="00C5188B">
        <w:t xml:space="preserve"> If the offer is rejected, the applicant will be offered a suitable unit in the location with the second highest number of vacancies. If that unit is rejected, a final offer will be made in the location with the third highest number of vacancies</w:t>
      </w:r>
      <w:r w:rsidR="008E4701" w:rsidRPr="00C5188B">
        <w:t xml:space="preserve">. </w:t>
      </w:r>
      <w:r w:rsidR="00C24E08" w:rsidRPr="00C5188B">
        <w:t xml:space="preserve">The offers will be made in </w:t>
      </w:r>
      <w:proofErr w:type="gramStart"/>
      <w:r w:rsidR="00C24E08" w:rsidRPr="00C5188B">
        <w:t>sequence</w:t>
      </w:r>
      <w:proofErr w:type="gramEnd"/>
      <w:r w:rsidR="00C24E08" w:rsidRPr="00C5188B">
        <w:t xml:space="preserve"> and the applicant must refuse </w:t>
      </w:r>
      <w:r>
        <w:t>an</w:t>
      </w:r>
      <w:r w:rsidR="00C24E08" w:rsidRPr="00C5188B">
        <w:t xml:space="preserve"> offer before another is made.</w:t>
      </w:r>
    </w:p>
    <w:p w14:paraId="56D620C4" w14:textId="77777777" w:rsidR="00D063E3" w:rsidRPr="00C5188B" w:rsidRDefault="00EE67AC" w:rsidP="00CB157C">
      <w:pPr>
        <w:pStyle w:val="MarginBulletCharChar"/>
        <w:numPr>
          <w:ilvl w:val="0"/>
          <w:numId w:val="0"/>
        </w:numPr>
        <w:tabs>
          <w:tab w:val="clear" w:pos="360"/>
          <w:tab w:val="clear" w:pos="1440"/>
        </w:tabs>
        <w:ind w:left="1440"/>
      </w:pPr>
      <w:r>
        <w:rPr>
          <w:u w:val="single"/>
        </w:rPr>
        <w:t>Two (2)</w:t>
      </w:r>
      <w:r w:rsidR="00D063E3" w:rsidRPr="00C5188B">
        <w:rPr>
          <w:u w:val="single"/>
        </w:rPr>
        <w:t xml:space="preserve"> locations:</w:t>
      </w:r>
      <w:r w:rsidR="00D063E3" w:rsidRPr="00C5188B">
        <w:t xml:space="preserve"> The applicant </w:t>
      </w:r>
      <w:r>
        <w:t>will</w:t>
      </w:r>
      <w:r w:rsidRPr="00C5188B">
        <w:t xml:space="preserve"> </w:t>
      </w:r>
      <w:r w:rsidR="00D063E3" w:rsidRPr="00C5188B">
        <w:t>be offered a suitable unit in the location with the higher number of vacancies. If the offer is rejected, a final offer will be made at the other location.</w:t>
      </w:r>
      <w:r w:rsidR="00C24E08" w:rsidRPr="00C5188B">
        <w:t xml:space="preserve"> The offers will be made in </w:t>
      </w:r>
      <w:proofErr w:type="gramStart"/>
      <w:r w:rsidR="00C24E08" w:rsidRPr="00C5188B">
        <w:t>sequence</w:t>
      </w:r>
      <w:proofErr w:type="gramEnd"/>
      <w:r w:rsidR="00C24E08" w:rsidRPr="00C5188B">
        <w:t xml:space="preserve"> and the applicant must refuse </w:t>
      </w:r>
      <w:r>
        <w:t>the first</w:t>
      </w:r>
      <w:r w:rsidRPr="00C5188B">
        <w:t xml:space="preserve"> </w:t>
      </w:r>
      <w:r w:rsidR="00C24E08" w:rsidRPr="00C5188B">
        <w:t xml:space="preserve">offer before </w:t>
      </w:r>
      <w:r>
        <w:t xml:space="preserve">a second offer </w:t>
      </w:r>
      <w:r w:rsidR="00C24E08" w:rsidRPr="00C5188B">
        <w:t>is made.</w:t>
      </w:r>
    </w:p>
    <w:p w14:paraId="6FB3E78A" w14:textId="77777777" w:rsidR="00D063E3" w:rsidRPr="00C5188B" w:rsidRDefault="00EE67AC" w:rsidP="00CB157C">
      <w:pPr>
        <w:pStyle w:val="MarginBulletCharChar"/>
        <w:numPr>
          <w:ilvl w:val="0"/>
          <w:numId w:val="0"/>
        </w:numPr>
        <w:tabs>
          <w:tab w:val="clear" w:pos="360"/>
          <w:tab w:val="clear" w:pos="1440"/>
        </w:tabs>
        <w:ind w:left="1440"/>
      </w:pPr>
      <w:r>
        <w:rPr>
          <w:u w:val="single"/>
        </w:rPr>
        <w:t>One (</w:t>
      </w:r>
      <w:r w:rsidR="00BD7A6F" w:rsidRPr="00C5188B">
        <w:rPr>
          <w:u w:val="single"/>
        </w:rPr>
        <w:t>1</w:t>
      </w:r>
      <w:r>
        <w:rPr>
          <w:u w:val="single"/>
        </w:rPr>
        <w:t>)</w:t>
      </w:r>
      <w:r w:rsidR="00D063E3" w:rsidRPr="00C5188B">
        <w:rPr>
          <w:u w:val="single"/>
        </w:rPr>
        <w:t xml:space="preserve"> location</w:t>
      </w:r>
      <w:r w:rsidR="00D063E3" w:rsidRPr="00C5188B">
        <w:t>: The applicant will be offered a suitable unit in that location. If the offer is rejected, the applicant will be offered the next suitable unit that becomes available, whether it is at the same location as the first offer or at another location.</w:t>
      </w:r>
      <w:r w:rsidR="00670805">
        <w:t xml:space="preserve"> The second unit offer will be the final offer, unless there is good cause for </w:t>
      </w:r>
      <w:r w:rsidR="00015101">
        <w:t>refusing</w:t>
      </w:r>
      <w:r w:rsidR="00670805">
        <w:t xml:space="preserve"> the offer.</w:t>
      </w:r>
    </w:p>
    <w:p w14:paraId="63C683AE" w14:textId="77777777" w:rsidR="00D063E3" w:rsidRPr="00C5188B" w:rsidRDefault="00D063E3" w:rsidP="00CB157C">
      <w:pPr>
        <w:pStyle w:val="MarginBulletCharChar"/>
        <w:numPr>
          <w:ilvl w:val="0"/>
          <w:numId w:val="0"/>
        </w:numPr>
        <w:tabs>
          <w:tab w:val="clear" w:pos="360"/>
          <w:tab w:val="clear" w:pos="1440"/>
        </w:tabs>
        <w:ind w:left="1440"/>
      </w:pPr>
      <w:r w:rsidRPr="00C5188B">
        <w:t>If more than one unit of the appropriate type and size is available, the first unit to be offered will be the first unit that is ready for occupancy.</w:t>
      </w:r>
    </w:p>
    <w:p w14:paraId="51B68F70" w14:textId="77777777" w:rsidR="00E60E1C" w:rsidRPr="00C5188B" w:rsidRDefault="00CB157C" w:rsidP="00CB157C">
      <w:pPr>
        <w:spacing w:before="240"/>
        <w:rPr>
          <w:rFonts w:cs="Times New Roman"/>
          <w:b/>
        </w:rPr>
      </w:pPr>
      <w:r>
        <w:rPr>
          <w:rFonts w:cs="Times New Roman"/>
          <w:b/>
        </w:rPr>
        <w:br w:type="page"/>
      </w:r>
      <w:r w:rsidR="00904DC9" w:rsidRPr="00C5188B">
        <w:rPr>
          <w:rFonts w:cs="Times New Roman"/>
          <w:b/>
        </w:rPr>
        <w:lastRenderedPageBreak/>
        <w:t>5-II.</w:t>
      </w:r>
      <w:r w:rsidR="00EE67AC">
        <w:rPr>
          <w:rFonts w:cs="Times New Roman"/>
          <w:b/>
        </w:rPr>
        <w:t>C</w:t>
      </w:r>
      <w:r w:rsidR="00904DC9" w:rsidRPr="00C5188B">
        <w:rPr>
          <w:rFonts w:cs="Times New Roman"/>
          <w:b/>
        </w:rPr>
        <w:t>. TIME LIMIT FOR UNIT OFFER ACCEPTANCE OR REFUSAL</w:t>
      </w:r>
    </w:p>
    <w:p w14:paraId="63A9A4BC" w14:textId="77777777" w:rsidR="00904DC9" w:rsidRPr="00C5188B" w:rsidRDefault="00904DC9" w:rsidP="00CB157C">
      <w:pPr>
        <w:pStyle w:val="MarginBulletCharChar"/>
        <w:numPr>
          <w:ilvl w:val="0"/>
          <w:numId w:val="0"/>
        </w:numPr>
        <w:tabs>
          <w:tab w:val="clear" w:pos="360"/>
          <w:tab w:val="clear" w:pos="1440"/>
        </w:tabs>
        <w:ind w:left="720"/>
      </w:pPr>
      <w:r w:rsidRPr="00C5188B">
        <w:rPr>
          <w:u w:val="single"/>
        </w:rPr>
        <w:t>PHA Policy</w:t>
      </w:r>
    </w:p>
    <w:p w14:paraId="7E21B375" w14:textId="77777777" w:rsidR="00904DC9" w:rsidRPr="00C5188B" w:rsidRDefault="00904DC9" w:rsidP="00CB157C">
      <w:pPr>
        <w:pStyle w:val="MarginBulletCharChar"/>
        <w:numPr>
          <w:ilvl w:val="0"/>
          <w:numId w:val="0"/>
        </w:numPr>
        <w:tabs>
          <w:tab w:val="clear" w:pos="360"/>
          <w:tab w:val="clear" w:pos="1440"/>
        </w:tabs>
        <w:ind w:left="720"/>
      </w:pPr>
      <w:r w:rsidRPr="00C5188B">
        <w:t xml:space="preserve">Applicants must accept or refuse a unit offer within </w:t>
      </w:r>
      <w:r w:rsidR="00304FFA">
        <w:t xml:space="preserve">3 </w:t>
      </w:r>
      <w:r w:rsidR="005A63C2" w:rsidRPr="00C5188B">
        <w:t>business</w:t>
      </w:r>
      <w:r w:rsidRPr="00C5188B">
        <w:t xml:space="preserve"> days</w:t>
      </w:r>
      <w:r w:rsidR="00CB157C">
        <w:t xml:space="preserve"> of the date of the unit offer.</w:t>
      </w:r>
    </w:p>
    <w:p w14:paraId="6DEE96AC" w14:textId="77777777" w:rsidR="00904DC9" w:rsidRPr="00C5188B" w:rsidRDefault="00904DC9" w:rsidP="00CB157C">
      <w:pPr>
        <w:pStyle w:val="MarginBulletCharChar"/>
        <w:numPr>
          <w:ilvl w:val="0"/>
          <w:numId w:val="0"/>
        </w:numPr>
        <w:tabs>
          <w:tab w:val="clear" w:pos="360"/>
          <w:tab w:val="clear" w:pos="1440"/>
        </w:tabs>
        <w:ind w:left="720"/>
      </w:pPr>
      <w:r w:rsidRPr="00C5188B">
        <w:t>Offers made by telephone will be confirmed by letter</w:t>
      </w:r>
      <w:r w:rsidR="00501AEC">
        <w:t xml:space="preserve"> or email</w:t>
      </w:r>
      <w:r w:rsidRPr="00C5188B">
        <w:t>.</w:t>
      </w:r>
    </w:p>
    <w:p w14:paraId="75173865" w14:textId="77777777" w:rsidR="00E60E1C" w:rsidRPr="00C5188B" w:rsidRDefault="00E60E1C" w:rsidP="00CB157C">
      <w:pPr>
        <w:spacing w:before="240"/>
        <w:rPr>
          <w:rFonts w:cs="Times New Roman"/>
          <w:b/>
        </w:rPr>
      </w:pPr>
      <w:r w:rsidRPr="00C5188B">
        <w:rPr>
          <w:rFonts w:cs="Times New Roman"/>
          <w:b/>
        </w:rPr>
        <w:t>5-II.</w:t>
      </w:r>
      <w:r w:rsidR="00EE67AC">
        <w:rPr>
          <w:rFonts w:cs="Times New Roman"/>
          <w:b/>
        </w:rPr>
        <w:t>D</w:t>
      </w:r>
      <w:r w:rsidRPr="00C5188B">
        <w:rPr>
          <w:rFonts w:cs="Times New Roman"/>
          <w:b/>
        </w:rPr>
        <w:t>. REFUSALS OF UNIT OFFERS</w:t>
      </w:r>
    </w:p>
    <w:p w14:paraId="16DB7AE6" w14:textId="77777777" w:rsidR="00E60E1C" w:rsidRPr="00C5188B" w:rsidRDefault="00FC17DF" w:rsidP="00CB157C">
      <w:pPr>
        <w:spacing w:before="120"/>
        <w:rPr>
          <w:rFonts w:cs="Times New Roman"/>
          <w:b/>
        </w:rPr>
      </w:pPr>
      <w:r w:rsidRPr="00C5188B">
        <w:rPr>
          <w:rFonts w:cs="Times New Roman"/>
          <w:b/>
        </w:rPr>
        <w:t>Good Cause for Unit Refusal</w:t>
      </w:r>
    </w:p>
    <w:p w14:paraId="7D0674EF" w14:textId="77777777" w:rsidR="002977B0" w:rsidRPr="00C5188B" w:rsidRDefault="002977B0" w:rsidP="00CB157C">
      <w:pPr>
        <w:spacing w:before="120"/>
        <w:rPr>
          <w:rFonts w:cs="Times New Roman"/>
        </w:rPr>
      </w:pPr>
      <w:r w:rsidRPr="00C5188B">
        <w:rPr>
          <w:rFonts w:cs="Times New Roman"/>
        </w:rPr>
        <w:t>An elderly or disabled family may decline an offer for designated housing. Such a refusal must not adversely affect the family</w:t>
      </w:r>
      <w:r w:rsidR="000B4907">
        <w:rPr>
          <w:rFonts w:cs="Times New Roman"/>
        </w:rPr>
        <w:t>’</w:t>
      </w:r>
      <w:r w:rsidRPr="00C5188B">
        <w:rPr>
          <w:rFonts w:cs="Times New Roman"/>
        </w:rPr>
        <w:t xml:space="preserve">s position on or placement on </w:t>
      </w:r>
      <w:r w:rsidR="00EE67AC">
        <w:rPr>
          <w:rFonts w:cs="Times New Roman"/>
        </w:rPr>
        <w:t xml:space="preserve">the </w:t>
      </w:r>
      <w:r w:rsidRPr="00C5188B">
        <w:rPr>
          <w:rFonts w:cs="Times New Roman"/>
        </w:rPr>
        <w:t xml:space="preserve">public housing waiting list </w:t>
      </w:r>
      <w:r w:rsidR="00EE67AC">
        <w:rPr>
          <w:rFonts w:cs="Times New Roman"/>
        </w:rPr>
        <w:t>[</w:t>
      </w:r>
      <w:r w:rsidRPr="00C5188B">
        <w:rPr>
          <w:rFonts w:cs="Times New Roman"/>
        </w:rPr>
        <w:t>24 CFR 945.303(d)</w:t>
      </w:r>
      <w:r w:rsidR="00EE67AC">
        <w:rPr>
          <w:rFonts w:cs="Times New Roman"/>
        </w:rPr>
        <w:t>].</w:t>
      </w:r>
    </w:p>
    <w:p w14:paraId="7BC0FB8B" w14:textId="77777777" w:rsidR="00FC17DF" w:rsidRPr="00C5188B" w:rsidRDefault="00904DC9" w:rsidP="00CB157C">
      <w:pPr>
        <w:pStyle w:val="MarginBulletCharChar"/>
        <w:numPr>
          <w:ilvl w:val="0"/>
          <w:numId w:val="0"/>
        </w:numPr>
        <w:tabs>
          <w:tab w:val="clear" w:pos="360"/>
          <w:tab w:val="clear" w:pos="1440"/>
        </w:tabs>
        <w:ind w:left="720"/>
        <w:rPr>
          <w:u w:val="single"/>
        </w:rPr>
      </w:pPr>
      <w:r w:rsidRPr="00C5188B">
        <w:rPr>
          <w:u w:val="single"/>
        </w:rPr>
        <w:t>PHA Policy</w:t>
      </w:r>
    </w:p>
    <w:p w14:paraId="357EF41D" w14:textId="77777777" w:rsidR="002977B0" w:rsidRPr="00C5188B" w:rsidRDefault="00A54CE7" w:rsidP="00CB157C">
      <w:pPr>
        <w:pStyle w:val="MarginBulletCharChar"/>
        <w:numPr>
          <w:ilvl w:val="0"/>
          <w:numId w:val="0"/>
        </w:numPr>
        <w:tabs>
          <w:tab w:val="clear" w:pos="360"/>
          <w:tab w:val="clear" w:pos="1440"/>
        </w:tabs>
        <w:ind w:left="720"/>
      </w:pPr>
      <w:r>
        <w:t>Applicants may refuse to</w:t>
      </w:r>
      <w:r w:rsidR="00C24E08" w:rsidRPr="00C5188B">
        <w:t xml:space="preserve"> accept </w:t>
      </w:r>
      <w:r>
        <w:t>a</w:t>
      </w:r>
      <w:r w:rsidR="00C24E08" w:rsidRPr="00C5188B">
        <w:t xml:space="preserve"> unit offer for </w:t>
      </w:r>
      <w:r w:rsidR="00CA2B0A">
        <w:t>“</w:t>
      </w:r>
      <w:r w:rsidR="00C24E08" w:rsidRPr="00CA2B0A">
        <w:t>good cau</w:t>
      </w:r>
      <w:r w:rsidRPr="00CA2B0A">
        <w:t>se</w:t>
      </w:r>
      <w:r w:rsidR="00CA2B0A">
        <w:rPr>
          <w:i/>
        </w:rPr>
        <w:t>.</w:t>
      </w:r>
      <w:r w:rsidR="00CA2B0A" w:rsidRPr="00B76806">
        <w:t>”</w:t>
      </w:r>
      <w:r w:rsidR="00CA2B0A">
        <w:t xml:space="preserve"> </w:t>
      </w:r>
      <w:r w:rsidR="00380986" w:rsidRPr="00204125">
        <w:rPr>
          <w:i/>
        </w:rPr>
        <w:t>Good cause</w:t>
      </w:r>
      <w:r w:rsidR="00380986">
        <w:t xml:space="preserve"> includes situations in which an applicant is willing to move but is unable to do so at the time of the unit offer, or the applicant demonstrates that acceptance of the offer would cause undue hardship not related to considerations of the applicant’s race, color, national origin, etc. [PH Occ GB, p. 104]. </w:t>
      </w:r>
      <w:r w:rsidR="002977B0" w:rsidRPr="00C5188B">
        <w:t>Examples of good cause for refusal of a unit offer include, but are not limited to, the following:</w:t>
      </w:r>
    </w:p>
    <w:p w14:paraId="6267D6AC" w14:textId="77777777" w:rsidR="002977B0" w:rsidRPr="00C5188B" w:rsidRDefault="00DB6BE4" w:rsidP="00CB157C">
      <w:pPr>
        <w:pStyle w:val="MarginBulletCharChar"/>
        <w:numPr>
          <w:ilvl w:val="0"/>
          <w:numId w:val="0"/>
        </w:numPr>
        <w:tabs>
          <w:tab w:val="clear" w:pos="360"/>
          <w:tab w:val="clear" w:pos="1440"/>
        </w:tabs>
        <w:ind w:left="1440"/>
      </w:pPr>
      <w:r>
        <w:t>The family demonstrates to the PHA’s satisfaction</w:t>
      </w:r>
      <w:r w:rsidR="002977B0" w:rsidRPr="00C5188B">
        <w:t xml:space="preserve"> that accepting the unit offer </w:t>
      </w:r>
      <w:r>
        <w:t>will</w:t>
      </w:r>
      <w:r w:rsidRPr="00C5188B">
        <w:t xml:space="preserve"> </w:t>
      </w:r>
      <w:r w:rsidR="002977B0" w:rsidRPr="00C5188B">
        <w:t xml:space="preserve">require </w:t>
      </w:r>
      <w:r>
        <w:t>an</w:t>
      </w:r>
      <w:r w:rsidRPr="00C5188B">
        <w:t xml:space="preserve"> </w:t>
      </w:r>
      <w:r w:rsidR="002977B0" w:rsidRPr="00C5188B">
        <w:t>adult</w:t>
      </w:r>
      <w:r w:rsidR="00480D70" w:rsidRPr="00C5188B">
        <w:t xml:space="preserve"> </w:t>
      </w:r>
      <w:r w:rsidR="002977B0" w:rsidRPr="00C5188B">
        <w:t>household member to quit a job, drop out of an educational institution or job training program, or take a</w:t>
      </w:r>
      <w:r w:rsidR="00480D70" w:rsidRPr="00C5188B">
        <w:t xml:space="preserve"> </w:t>
      </w:r>
      <w:r w:rsidR="002977B0" w:rsidRPr="00C5188B">
        <w:t>child out of day care or an educational program</w:t>
      </w:r>
      <w:r w:rsidR="00415837">
        <w:t xml:space="preserve"> for children with disabilities</w:t>
      </w:r>
      <w:r>
        <w:t>.</w:t>
      </w:r>
    </w:p>
    <w:p w14:paraId="44A37208" w14:textId="77777777" w:rsidR="00F106CA" w:rsidRDefault="002977B0" w:rsidP="00CB157C">
      <w:pPr>
        <w:pStyle w:val="MarginBulletCharChar"/>
        <w:numPr>
          <w:ilvl w:val="0"/>
          <w:numId w:val="0"/>
        </w:numPr>
        <w:tabs>
          <w:tab w:val="clear" w:pos="360"/>
          <w:tab w:val="clear" w:pos="1440"/>
        </w:tabs>
        <w:ind w:left="1440"/>
      </w:pPr>
      <w:r w:rsidRPr="00C5188B">
        <w:t xml:space="preserve">The family demonstrates to </w:t>
      </w:r>
      <w:r w:rsidR="00F00668">
        <w:t xml:space="preserve">the </w:t>
      </w:r>
      <w:r w:rsidRPr="00C5188B">
        <w:t>PHA’s satisfaction that accepting the offer will place a family member’s</w:t>
      </w:r>
      <w:r w:rsidR="00480D70" w:rsidRPr="00C5188B">
        <w:t xml:space="preserve"> </w:t>
      </w:r>
      <w:r w:rsidRPr="00C5188B">
        <w:t>life, health</w:t>
      </w:r>
      <w:r w:rsidR="00DB6BE4">
        <w:t>,</w:t>
      </w:r>
      <w:r w:rsidRPr="00C5188B">
        <w:t xml:space="preserve"> or safety in jeopardy. The family should offer specific and compelling documentation such</w:t>
      </w:r>
      <w:r w:rsidR="00480D70" w:rsidRPr="00C5188B">
        <w:t xml:space="preserve"> </w:t>
      </w:r>
      <w:r w:rsidRPr="00C5188B">
        <w:t>as restraining orders</w:t>
      </w:r>
      <w:r w:rsidR="003A09FE">
        <w:t>;</w:t>
      </w:r>
      <w:r w:rsidRPr="00C5188B">
        <w:t xml:space="preserve"> other court orders</w:t>
      </w:r>
      <w:r w:rsidR="003A09FE">
        <w:t>;</w:t>
      </w:r>
      <w:r w:rsidRPr="00C5188B">
        <w:t xml:space="preserve"> risk assessments related to witness protection from a law</w:t>
      </w:r>
      <w:r w:rsidR="00480D70" w:rsidRPr="00C5188B">
        <w:t xml:space="preserve"> </w:t>
      </w:r>
      <w:r w:rsidRPr="00C5188B">
        <w:t>enforcement agency</w:t>
      </w:r>
      <w:r w:rsidR="003A09FE">
        <w:t>;</w:t>
      </w:r>
      <w:r w:rsidR="00DB6BE4">
        <w:t xml:space="preserve"> or documentation of domestic violence, dating violence, </w:t>
      </w:r>
      <w:r w:rsidR="004674FF">
        <w:t xml:space="preserve">sexual assault, </w:t>
      </w:r>
      <w:r w:rsidR="00DB6BE4">
        <w:t>stalking</w:t>
      </w:r>
      <w:r w:rsidR="000B4907">
        <w:t>, or human trafficking</w:t>
      </w:r>
      <w:r w:rsidR="00DB6BE4">
        <w:t xml:space="preserve"> in accordance with section 16-VII.D of this ACOP</w:t>
      </w:r>
      <w:r w:rsidRPr="00C5188B">
        <w:t>. Reasons offered must be specific to the family. Refusals due to location alone do</w:t>
      </w:r>
      <w:r w:rsidR="00480D70" w:rsidRPr="00C5188B">
        <w:t xml:space="preserve"> </w:t>
      </w:r>
      <w:r w:rsidRPr="00C5188B">
        <w:t>not qualif</w:t>
      </w:r>
      <w:r w:rsidR="00415837">
        <w:t>y for this good cause exemption</w:t>
      </w:r>
      <w:r w:rsidR="00DB6BE4">
        <w:t>.</w:t>
      </w:r>
    </w:p>
    <w:p w14:paraId="4D5A65D0" w14:textId="77777777" w:rsidR="002977B0" w:rsidRPr="00C5188B" w:rsidRDefault="002977B0" w:rsidP="00CB157C">
      <w:pPr>
        <w:pStyle w:val="MarginBulletCharChar"/>
        <w:numPr>
          <w:ilvl w:val="0"/>
          <w:numId w:val="0"/>
        </w:numPr>
        <w:tabs>
          <w:tab w:val="clear" w:pos="360"/>
          <w:tab w:val="clear" w:pos="1440"/>
        </w:tabs>
        <w:ind w:left="1440"/>
      </w:pPr>
      <w:r w:rsidRPr="00C5188B">
        <w:t>A health professional verifies temporary hospitalization or recovery from illness of the principal</w:t>
      </w:r>
      <w:r w:rsidR="00480D70" w:rsidRPr="00C5188B">
        <w:t xml:space="preserve"> </w:t>
      </w:r>
      <w:r w:rsidRPr="00C5188B">
        <w:t>household membe</w:t>
      </w:r>
      <w:r w:rsidR="00480D70" w:rsidRPr="00C5188B">
        <w:t>r, other household members (</w:t>
      </w:r>
      <w:r w:rsidRPr="00C5188B">
        <w:t xml:space="preserve">as listed on final application) or live-in </w:t>
      </w:r>
      <w:proofErr w:type="gramStart"/>
      <w:r w:rsidRPr="00C5188B">
        <w:t>aide</w:t>
      </w:r>
      <w:proofErr w:type="gramEnd"/>
      <w:r w:rsidR="00480D70" w:rsidRPr="00C5188B">
        <w:t xml:space="preserve"> </w:t>
      </w:r>
      <w:r w:rsidRPr="00C5188B">
        <w:t>necessary to the care of</w:t>
      </w:r>
      <w:r w:rsidR="00415837">
        <w:t xml:space="preserve"> the principal household member</w:t>
      </w:r>
      <w:r w:rsidR="00DB6BE4">
        <w:t>.</w:t>
      </w:r>
    </w:p>
    <w:p w14:paraId="2000AC4A" w14:textId="77777777" w:rsidR="002977B0" w:rsidRPr="00C5188B" w:rsidRDefault="00CB157C" w:rsidP="00CB157C">
      <w:pPr>
        <w:pStyle w:val="MarginBulletCharChar"/>
        <w:numPr>
          <w:ilvl w:val="0"/>
          <w:numId w:val="0"/>
        </w:numPr>
        <w:tabs>
          <w:tab w:val="clear" w:pos="360"/>
          <w:tab w:val="clear" w:pos="1440"/>
        </w:tabs>
        <w:ind w:left="1440"/>
      </w:pPr>
      <w:r>
        <w:br w:type="page"/>
      </w:r>
      <w:r w:rsidR="002977B0" w:rsidRPr="00C5188B">
        <w:lastRenderedPageBreak/>
        <w:t>The unit is inappropriate for the applicant’s disabilities, or the family does not need the accessible</w:t>
      </w:r>
      <w:r w:rsidR="00480D70" w:rsidRPr="00C5188B">
        <w:t xml:space="preserve"> </w:t>
      </w:r>
      <w:r w:rsidR="002977B0" w:rsidRPr="00C5188B">
        <w:t>features in the unit offered and does not want to be sub</w:t>
      </w:r>
      <w:r w:rsidR="00415837">
        <w:t>ject to a 30-day notice to move</w:t>
      </w:r>
      <w:r w:rsidR="00DB6BE4">
        <w:t>.</w:t>
      </w:r>
    </w:p>
    <w:p w14:paraId="54DE508C" w14:textId="77777777" w:rsidR="002977B0" w:rsidRPr="00C5188B" w:rsidRDefault="002977B0" w:rsidP="00CB157C">
      <w:pPr>
        <w:pStyle w:val="MarginBulletCharChar"/>
        <w:numPr>
          <w:ilvl w:val="0"/>
          <w:numId w:val="0"/>
        </w:numPr>
        <w:tabs>
          <w:tab w:val="clear" w:pos="360"/>
          <w:tab w:val="clear" w:pos="1440"/>
        </w:tabs>
        <w:ind w:left="1440"/>
      </w:pPr>
      <w:r w:rsidRPr="00C5188B">
        <w:t xml:space="preserve">The unit has </w:t>
      </w:r>
      <w:proofErr w:type="gramStart"/>
      <w:r w:rsidRPr="00C5188B">
        <w:t>lead</w:t>
      </w:r>
      <w:proofErr w:type="gramEnd"/>
      <w:r w:rsidRPr="00C5188B">
        <w:t>-based paint and the family includes children under the age of six</w:t>
      </w:r>
      <w:r w:rsidR="00DB6BE4">
        <w:t>.</w:t>
      </w:r>
    </w:p>
    <w:p w14:paraId="6FC4F781" w14:textId="77777777" w:rsidR="00380986" w:rsidRPr="00C5188B" w:rsidRDefault="00380986" w:rsidP="00CB157C">
      <w:pPr>
        <w:pStyle w:val="MarginBulletCharChar"/>
        <w:numPr>
          <w:ilvl w:val="0"/>
          <w:numId w:val="0"/>
        </w:numPr>
        <w:tabs>
          <w:tab w:val="clear" w:pos="360"/>
          <w:tab w:val="clear" w:pos="1440"/>
        </w:tabs>
        <w:ind w:left="720"/>
      </w:pPr>
      <w:r>
        <w:t xml:space="preserve">In the case of a unit refusal for good cause </w:t>
      </w:r>
      <w:r w:rsidRPr="00C5188B">
        <w:t xml:space="preserve">the applicant will not be removed from the waiting list as described later in this section. The applicant will remain at the top of the waiting list until the family receives an offer for which they do not have good cause </w:t>
      </w:r>
      <w:r>
        <w:t xml:space="preserve">to </w:t>
      </w:r>
      <w:r w:rsidRPr="00C5188B">
        <w:t>refus</w:t>
      </w:r>
      <w:r>
        <w:t>e</w:t>
      </w:r>
      <w:r w:rsidRPr="00C5188B">
        <w:t>.</w:t>
      </w:r>
    </w:p>
    <w:p w14:paraId="7257F83C" w14:textId="77777777" w:rsidR="00523542" w:rsidRPr="00C5188B" w:rsidRDefault="00523542" w:rsidP="00CB157C">
      <w:pPr>
        <w:pStyle w:val="MarginBulletCharChar"/>
        <w:numPr>
          <w:ilvl w:val="0"/>
          <w:numId w:val="0"/>
        </w:numPr>
        <w:tabs>
          <w:tab w:val="clear" w:pos="360"/>
          <w:tab w:val="clear" w:pos="1440"/>
        </w:tabs>
        <w:ind w:left="720"/>
      </w:pPr>
      <w:r w:rsidRPr="00C5188B">
        <w:t>The PHA will require documentation of good cause for unit refusals.</w:t>
      </w:r>
    </w:p>
    <w:p w14:paraId="33DB170D" w14:textId="77777777" w:rsidR="00E60E1C" w:rsidRPr="00C5188B" w:rsidRDefault="00BA0E7C" w:rsidP="00CB157C">
      <w:pPr>
        <w:spacing w:before="120"/>
        <w:rPr>
          <w:rFonts w:cs="Times New Roman"/>
          <w:b/>
        </w:rPr>
      </w:pPr>
      <w:r w:rsidRPr="00C5188B">
        <w:rPr>
          <w:rFonts w:cs="Times New Roman"/>
          <w:b/>
        </w:rPr>
        <w:t xml:space="preserve">Unit Refusal </w:t>
      </w:r>
      <w:r w:rsidR="00DB10C1">
        <w:rPr>
          <w:rFonts w:cs="Times New Roman"/>
          <w:b/>
        </w:rPr>
        <w:t>w</w:t>
      </w:r>
      <w:r w:rsidR="00DB10C1" w:rsidRPr="00C5188B">
        <w:rPr>
          <w:rFonts w:cs="Times New Roman"/>
          <w:b/>
        </w:rPr>
        <w:t xml:space="preserve">ithout </w:t>
      </w:r>
      <w:r w:rsidRPr="00C5188B">
        <w:rPr>
          <w:rFonts w:cs="Times New Roman"/>
          <w:b/>
        </w:rPr>
        <w:t>Good Cause</w:t>
      </w:r>
    </w:p>
    <w:p w14:paraId="77100DEF" w14:textId="77777777" w:rsidR="00E60E1C" w:rsidRPr="00C5188B" w:rsidRDefault="005578D9" w:rsidP="00CB157C">
      <w:pPr>
        <w:pStyle w:val="MarginBulletCharChar"/>
        <w:numPr>
          <w:ilvl w:val="0"/>
          <w:numId w:val="0"/>
        </w:numPr>
        <w:tabs>
          <w:tab w:val="clear" w:pos="360"/>
          <w:tab w:val="clear" w:pos="1440"/>
        </w:tabs>
        <w:ind w:left="720"/>
        <w:rPr>
          <w:u w:val="single"/>
        </w:rPr>
      </w:pPr>
      <w:r w:rsidRPr="00C5188B">
        <w:rPr>
          <w:u w:val="single"/>
        </w:rPr>
        <w:t>PHA Policy</w:t>
      </w:r>
    </w:p>
    <w:p w14:paraId="3DF37D37" w14:textId="77777777" w:rsidR="005578D9" w:rsidRPr="00C5188B" w:rsidRDefault="005578D9" w:rsidP="00CB157C">
      <w:pPr>
        <w:pStyle w:val="MarginBulletCharChar"/>
        <w:numPr>
          <w:ilvl w:val="0"/>
          <w:numId w:val="0"/>
        </w:numPr>
        <w:tabs>
          <w:tab w:val="clear" w:pos="360"/>
          <w:tab w:val="clear" w:pos="1440"/>
        </w:tabs>
        <w:ind w:left="720"/>
      </w:pPr>
      <w:r w:rsidRPr="00C5188B">
        <w:t>When an applicant rejects the final unit offer without good cause, the PHA will remove the applicant’s name from the waiting list</w:t>
      </w:r>
      <w:r w:rsidR="009E2317">
        <w:t xml:space="preserve"> and send notice to the family</w:t>
      </w:r>
      <w:r w:rsidR="00801CA5">
        <w:t xml:space="preserve"> of such removal</w:t>
      </w:r>
      <w:r w:rsidR="009E2317">
        <w:t xml:space="preserve">. The notice will inform the family of their right to request an informal hearing and the </w:t>
      </w:r>
      <w:r w:rsidR="00801CA5">
        <w:t>process for doing so</w:t>
      </w:r>
      <w:r w:rsidR="00CD11CB">
        <w:t xml:space="preserve"> (see Chapter 14)</w:t>
      </w:r>
      <w:r w:rsidR="00861924">
        <w:t>.</w:t>
      </w:r>
    </w:p>
    <w:p w14:paraId="41177654" w14:textId="77777777" w:rsidR="005578D9" w:rsidRPr="00C5188B" w:rsidRDefault="005578D9" w:rsidP="00CB157C">
      <w:pPr>
        <w:pStyle w:val="MarginBulletCharChar"/>
        <w:numPr>
          <w:ilvl w:val="0"/>
          <w:numId w:val="0"/>
        </w:numPr>
        <w:tabs>
          <w:tab w:val="clear" w:pos="360"/>
          <w:tab w:val="clear" w:pos="1440"/>
        </w:tabs>
        <w:ind w:left="720"/>
      </w:pPr>
      <w:r w:rsidRPr="00C5188B">
        <w:t>The applicant may reapply for assistance if the waiting list is open. If the waiting list is not open, the applicant must wait to reapply until the PHA opens the waiting list.</w:t>
      </w:r>
    </w:p>
    <w:p w14:paraId="3C235C11" w14:textId="77777777" w:rsidR="00E60E1C" w:rsidRPr="00C5188B" w:rsidRDefault="009C48D8" w:rsidP="00CB157C">
      <w:pPr>
        <w:spacing w:before="240"/>
        <w:rPr>
          <w:rFonts w:cs="Times New Roman"/>
          <w:b/>
        </w:rPr>
      </w:pPr>
      <w:r>
        <w:rPr>
          <w:rFonts w:cs="Times New Roman"/>
          <w:b/>
        </w:rPr>
        <w:br w:type="page"/>
      </w:r>
      <w:r w:rsidR="008F0C55" w:rsidRPr="00C5188B">
        <w:rPr>
          <w:rFonts w:cs="Times New Roman"/>
          <w:b/>
        </w:rPr>
        <w:lastRenderedPageBreak/>
        <w:t>5-II.</w:t>
      </w:r>
      <w:r w:rsidR="00CD11CB">
        <w:rPr>
          <w:rFonts w:cs="Times New Roman"/>
          <w:b/>
        </w:rPr>
        <w:t>E</w:t>
      </w:r>
      <w:r w:rsidR="008F0C55" w:rsidRPr="00C5188B">
        <w:rPr>
          <w:rFonts w:cs="Times New Roman"/>
          <w:b/>
        </w:rPr>
        <w:t xml:space="preserve">. </w:t>
      </w:r>
      <w:r w:rsidR="00FD2355" w:rsidRPr="00C5188B">
        <w:rPr>
          <w:rFonts w:cs="Times New Roman"/>
          <w:b/>
        </w:rPr>
        <w:t>ACCESSIBLE UNITS</w:t>
      </w:r>
      <w:r w:rsidR="0041577D">
        <w:rPr>
          <w:rFonts w:cs="Times New Roman"/>
          <w:b/>
        </w:rPr>
        <w:t xml:space="preserve"> [24 CFR 8.27]</w:t>
      </w:r>
    </w:p>
    <w:p w14:paraId="338FD311" w14:textId="77777777" w:rsidR="0041577D" w:rsidRDefault="0041577D" w:rsidP="00CB157C">
      <w:pPr>
        <w:spacing w:before="120"/>
        <w:rPr>
          <w:rFonts w:cs="Times New Roman"/>
        </w:rPr>
      </w:pPr>
      <w:r>
        <w:rPr>
          <w:rFonts w:cs="Times New Roman"/>
        </w:rPr>
        <w:t xml:space="preserve">PHAs must adopt suitable means to </w:t>
      </w:r>
      <w:proofErr w:type="gramStart"/>
      <w:r>
        <w:rPr>
          <w:rFonts w:cs="Times New Roman"/>
        </w:rPr>
        <w:t>assure</w:t>
      </w:r>
      <w:proofErr w:type="gramEnd"/>
      <w:r>
        <w:rPr>
          <w:rFonts w:cs="Times New Roman"/>
        </w:rPr>
        <w:t xml:space="preserve"> that information regarding the availability of accessible units reaches eligible individuals with </w:t>
      </w:r>
      <w:proofErr w:type="gramStart"/>
      <w:r>
        <w:rPr>
          <w:rFonts w:cs="Times New Roman"/>
        </w:rPr>
        <w:t>disabilities, and</w:t>
      </w:r>
      <w:proofErr w:type="gramEnd"/>
      <w:r>
        <w:rPr>
          <w:rFonts w:cs="Times New Roman"/>
        </w:rPr>
        <w:t xml:space="preserve"> take reasonable nondiscriminatory steps to maximize the utilization of such units by eligible individuals whose disability requires the accessibility features of a particular unit. </w:t>
      </w:r>
    </w:p>
    <w:p w14:paraId="2FA0F351" w14:textId="77777777" w:rsidR="0041577D" w:rsidRDefault="0041577D" w:rsidP="00CB157C">
      <w:pPr>
        <w:spacing w:before="120"/>
        <w:rPr>
          <w:rFonts w:cs="Times New Roman"/>
        </w:rPr>
      </w:pPr>
      <w:r>
        <w:rPr>
          <w:rFonts w:cs="Times New Roman"/>
        </w:rPr>
        <w:t>When an accessible unit becomes vacant, before offering such units to a non-disabled applicant the PHA must offer such units:</w:t>
      </w:r>
    </w:p>
    <w:p w14:paraId="4CA3307C" w14:textId="77777777" w:rsidR="0041577D" w:rsidRPr="00C5188B" w:rsidRDefault="0041577D" w:rsidP="0008298F">
      <w:pPr>
        <w:numPr>
          <w:ilvl w:val="0"/>
          <w:numId w:val="2"/>
        </w:numPr>
        <w:tabs>
          <w:tab w:val="clear" w:pos="810"/>
        </w:tabs>
        <w:spacing w:before="120"/>
        <w:ind w:left="360" w:hanging="360"/>
        <w:rPr>
          <w:rFonts w:cs="Times New Roman"/>
        </w:rPr>
      </w:pPr>
      <w:r w:rsidRPr="00C5188B">
        <w:rPr>
          <w:rFonts w:cs="Times New Roman"/>
        </w:rPr>
        <w:t>First, to a current resident of another unit of the same development, or other public housing develop</w:t>
      </w:r>
      <w:r w:rsidR="00A466AE">
        <w:rPr>
          <w:rFonts w:cs="Times New Roman"/>
        </w:rPr>
        <w:t>ment</w:t>
      </w:r>
      <w:r w:rsidRPr="00C5188B">
        <w:rPr>
          <w:rFonts w:cs="Times New Roman"/>
        </w:rPr>
        <w:t xml:space="preserve"> under the PHA’s control, who has a disability that requires the special features of the vacant unit</w:t>
      </w:r>
      <w:r>
        <w:rPr>
          <w:rFonts w:cs="Times New Roman"/>
        </w:rPr>
        <w:t xml:space="preserve"> and </w:t>
      </w:r>
      <w:r w:rsidR="00165ED5">
        <w:rPr>
          <w:rFonts w:cs="Times New Roman"/>
        </w:rPr>
        <w:t xml:space="preserve">is </w:t>
      </w:r>
      <w:r>
        <w:rPr>
          <w:rFonts w:cs="Times New Roman"/>
        </w:rPr>
        <w:t>occupying a unit not having such features, or if no such occupant exists, then</w:t>
      </w:r>
    </w:p>
    <w:p w14:paraId="2B87D885" w14:textId="77777777" w:rsidR="0041577D" w:rsidRDefault="0041577D" w:rsidP="0008298F">
      <w:pPr>
        <w:numPr>
          <w:ilvl w:val="0"/>
          <w:numId w:val="2"/>
        </w:numPr>
        <w:tabs>
          <w:tab w:val="clear" w:pos="810"/>
        </w:tabs>
        <w:spacing w:before="120"/>
        <w:ind w:left="360" w:hanging="360"/>
        <w:rPr>
          <w:rFonts w:cs="Times New Roman"/>
        </w:rPr>
      </w:pPr>
      <w:r w:rsidRPr="00C5188B">
        <w:rPr>
          <w:rFonts w:cs="Times New Roman"/>
        </w:rPr>
        <w:t>Second, to an eligible qualified applicant on the waiting list having a disability that requires the special features of the vacant unit.</w:t>
      </w:r>
    </w:p>
    <w:p w14:paraId="158A2722" w14:textId="77777777" w:rsidR="00A466AE" w:rsidRPr="00C5188B" w:rsidRDefault="00A466AE" w:rsidP="009C48D8">
      <w:pPr>
        <w:spacing w:before="120"/>
        <w:rPr>
          <w:rFonts w:cs="Times New Roman"/>
        </w:rPr>
      </w:pPr>
      <w:r>
        <w:rPr>
          <w:rFonts w:cs="Times New Roman"/>
        </w:rPr>
        <w:t xml:space="preserve">When offering an accessible unit to an applicant </w:t>
      </w:r>
      <w:proofErr w:type="gramStart"/>
      <w:r>
        <w:rPr>
          <w:rFonts w:cs="Times New Roman"/>
        </w:rPr>
        <w:t>not having</w:t>
      </w:r>
      <w:proofErr w:type="gramEnd"/>
      <w:r>
        <w:rPr>
          <w:rFonts w:cs="Times New Roman"/>
        </w:rPr>
        <w:t xml:space="preserve"> a disability requiring the accessibility features of the unit, the PHA may require the applicant to agree (and may incorporate this agreement in the lease) to move to a non-accessible unit when available.</w:t>
      </w:r>
    </w:p>
    <w:p w14:paraId="700BFB65" w14:textId="77777777" w:rsidR="00FD2355" w:rsidRPr="00C5188B" w:rsidRDefault="00FC0EDC" w:rsidP="009C48D8">
      <w:pPr>
        <w:pStyle w:val="MarginBulletCharChar"/>
        <w:numPr>
          <w:ilvl w:val="0"/>
          <w:numId w:val="0"/>
        </w:numPr>
        <w:tabs>
          <w:tab w:val="clear" w:pos="360"/>
          <w:tab w:val="clear" w:pos="1440"/>
        </w:tabs>
        <w:ind w:left="720"/>
        <w:rPr>
          <w:u w:val="single"/>
        </w:rPr>
      </w:pPr>
      <w:r w:rsidRPr="00C5188B">
        <w:rPr>
          <w:u w:val="single"/>
        </w:rPr>
        <w:t>PHA Policy</w:t>
      </w:r>
    </w:p>
    <w:p w14:paraId="16B84CCD" w14:textId="77777777" w:rsidR="00FC0EDC" w:rsidRPr="00C5188B" w:rsidRDefault="00FC0EDC" w:rsidP="009C48D8">
      <w:pPr>
        <w:pStyle w:val="MarginBulletCharChar"/>
        <w:numPr>
          <w:ilvl w:val="0"/>
          <w:numId w:val="0"/>
        </w:numPr>
        <w:tabs>
          <w:tab w:val="clear" w:pos="360"/>
          <w:tab w:val="clear" w:pos="1440"/>
        </w:tabs>
        <w:ind w:left="720"/>
      </w:pPr>
      <w:r w:rsidRPr="00C5188B">
        <w:t xml:space="preserve">Families requiring an accessible unit may be over-housed in </w:t>
      </w:r>
      <w:r w:rsidR="006648BA" w:rsidRPr="00C5188B">
        <w:t xml:space="preserve">such a unit if there are no resident or applicant families of the appropriate size who also require the accessible features of the unit. </w:t>
      </w:r>
    </w:p>
    <w:p w14:paraId="376718BC" w14:textId="77777777" w:rsidR="006648BA" w:rsidRPr="00C5188B" w:rsidRDefault="006648BA" w:rsidP="009C48D8">
      <w:pPr>
        <w:pStyle w:val="MarginBulletCharChar"/>
        <w:numPr>
          <w:ilvl w:val="0"/>
          <w:numId w:val="0"/>
        </w:numPr>
        <w:tabs>
          <w:tab w:val="clear" w:pos="360"/>
          <w:tab w:val="clear" w:pos="1440"/>
        </w:tabs>
        <w:ind w:left="720"/>
      </w:pPr>
      <w:r w:rsidRPr="00C5188B">
        <w:t xml:space="preserve">When there are no resident or applicant families requiring the accessible features of the unit, including families who would be over-housed, the PHA </w:t>
      </w:r>
      <w:r w:rsidR="00A466AE">
        <w:t>will</w:t>
      </w:r>
      <w:r w:rsidR="00A466AE" w:rsidRPr="00C5188B">
        <w:t xml:space="preserve"> </w:t>
      </w:r>
      <w:r w:rsidRPr="00C5188B">
        <w:t>offer the unit to a non-disabled applicant.</w:t>
      </w:r>
    </w:p>
    <w:p w14:paraId="092CA9FC" w14:textId="77777777" w:rsidR="00FC0EDC" w:rsidRPr="00C5188B" w:rsidRDefault="00FC0EDC" w:rsidP="009C48D8">
      <w:pPr>
        <w:pStyle w:val="MarginBulletCharChar"/>
        <w:numPr>
          <w:ilvl w:val="0"/>
          <w:numId w:val="0"/>
        </w:numPr>
        <w:tabs>
          <w:tab w:val="clear" w:pos="360"/>
          <w:tab w:val="clear" w:pos="1440"/>
        </w:tabs>
        <w:ind w:left="720"/>
      </w:pPr>
      <w:r w:rsidRPr="00C5188B">
        <w:t xml:space="preserve">When </w:t>
      </w:r>
      <w:r w:rsidR="00603A88" w:rsidRPr="00C5188B">
        <w:t>offering an accessible</w:t>
      </w:r>
      <w:r w:rsidRPr="00C5188B">
        <w:t xml:space="preserve"> unit to a non-disabled applicant, the PHA will require the applicant to agree to move to an available non-accessible unit within 30 days when either a current resident or an applicant needs the features of the unit and there is another unit available for the </w:t>
      </w:r>
      <w:r w:rsidR="00603A88" w:rsidRPr="00C5188B">
        <w:t>non-disabled family</w:t>
      </w:r>
      <w:r w:rsidRPr="00C5188B">
        <w:t xml:space="preserve">. This requirement will be a provision of the lease agreement. </w:t>
      </w:r>
    </w:p>
    <w:p w14:paraId="1181D92E" w14:textId="77777777" w:rsidR="008F0C55" w:rsidRPr="00C5188B" w:rsidRDefault="00FF356E" w:rsidP="009C48D8">
      <w:pPr>
        <w:spacing w:before="240"/>
        <w:rPr>
          <w:rFonts w:cs="Times New Roman"/>
          <w:b/>
        </w:rPr>
      </w:pPr>
      <w:r w:rsidRPr="00C5188B">
        <w:rPr>
          <w:rFonts w:cs="Times New Roman"/>
          <w:b/>
        </w:rPr>
        <w:t>5-II.</w:t>
      </w:r>
      <w:r w:rsidR="00A466AE">
        <w:rPr>
          <w:rFonts w:cs="Times New Roman"/>
          <w:b/>
        </w:rPr>
        <w:t>F</w:t>
      </w:r>
      <w:r w:rsidRPr="00C5188B">
        <w:rPr>
          <w:rFonts w:cs="Times New Roman"/>
          <w:b/>
        </w:rPr>
        <w:t>. DESIGNATED HOUSING</w:t>
      </w:r>
    </w:p>
    <w:p w14:paraId="3D7568C4" w14:textId="77777777" w:rsidR="00FF356E" w:rsidRPr="00C5188B" w:rsidRDefault="00956E57" w:rsidP="009C48D8">
      <w:pPr>
        <w:spacing w:before="120"/>
        <w:rPr>
          <w:rFonts w:cs="Times New Roman"/>
        </w:rPr>
      </w:pPr>
      <w:r>
        <w:rPr>
          <w:rFonts w:cs="Times New Roman"/>
        </w:rPr>
        <w:t>When</w:t>
      </w:r>
      <w:r w:rsidR="00A466AE">
        <w:rPr>
          <w:rFonts w:cs="Times New Roman"/>
        </w:rPr>
        <w:t xml:space="preserve"> applicable, t</w:t>
      </w:r>
      <w:r w:rsidR="00FF356E" w:rsidRPr="00C5188B">
        <w:rPr>
          <w:rFonts w:cs="Times New Roman"/>
        </w:rPr>
        <w:t>he PHA’s policies for offering units designated for elderly families only or for disabled families only are described in the PHA’s Designated Housing Plan.</w:t>
      </w:r>
    </w:p>
    <w:sectPr w:rsidR="00FF356E" w:rsidRPr="00C5188B" w:rsidSect="00B5004A">
      <w:footerReference w:type="default" r:id="rId7"/>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968D2" w14:textId="77777777" w:rsidR="00802826" w:rsidRDefault="00802826">
      <w:r>
        <w:separator/>
      </w:r>
    </w:p>
  </w:endnote>
  <w:endnote w:type="continuationSeparator" w:id="0">
    <w:p w14:paraId="514BF98A" w14:textId="77777777" w:rsidR="00802826" w:rsidRDefault="0080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C202A" w14:textId="77777777" w:rsidR="002608DC" w:rsidRPr="00E668BF" w:rsidRDefault="002608DC" w:rsidP="00E668BF">
    <w:pPr>
      <w:pStyle w:val="Footer"/>
      <w:framePr w:wrap="around" w:vAnchor="text" w:hAnchor="margin" w:xAlign="center" w:y="1"/>
      <w:tabs>
        <w:tab w:val="clear" w:pos="4320"/>
      </w:tabs>
      <w:rPr>
        <w:rStyle w:val="PageNumber"/>
        <w:rFonts w:cs="Times New Roman"/>
      </w:rPr>
    </w:pPr>
    <w:r w:rsidRPr="00E668BF">
      <w:rPr>
        <w:rStyle w:val="PageNumber"/>
        <w:rFonts w:cs="Times New Roman"/>
      </w:rPr>
      <w:t xml:space="preserve">Page </w:t>
    </w:r>
    <w:r>
      <w:rPr>
        <w:rStyle w:val="PageNumber"/>
        <w:rFonts w:cs="Times New Roman"/>
      </w:rPr>
      <w:t>5</w:t>
    </w:r>
    <w:r w:rsidRPr="00E668BF">
      <w:rPr>
        <w:rStyle w:val="PageNumber"/>
        <w:rFonts w:cs="Times New Roman"/>
      </w:rPr>
      <w:t>-</w:t>
    </w:r>
    <w:r w:rsidRPr="00E668BF">
      <w:rPr>
        <w:rStyle w:val="PageNumber"/>
        <w:rFonts w:cs="Times New Roman"/>
      </w:rPr>
      <w:fldChar w:fldCharType="begin"/>
    </w:r>
    <w:r w:rsidRPr="00E668BF">
      <w:rPr>
        <w:rStyle w:val="PageNumber"/>
        <w:rFonts w:cs="Times New Roman"/>
      </w:rPr>
      <w:instrText xml:space="preserve">PAGE  </w:instrText>
    </w:r>
    <w:r w:rsidRPr="00E668BF">
      <w:rPr>
        <w:rStyle w:val="PageNumber"/>
        <w:rFonts w:cs="Times New Roman"/>
      </w:rPr>
      <w:fldChar w:fldCharType="separate"/>
    </w:r>
    <w:r w:rsidR="005D0B3D">
      <w:rPr>
        <w:rStyle w:val="PageNumber"/>
        <w:rFonts w:cs="Times New Roman"/>
        <w:noProof/>
      </w:rPr>
      <w:t>2</w:t>
    </w:r>
    <w:r w:rsidRPr="00E668BF">
      <w:rPr>
        <w:rStyle w:val="PageNumber"/>
        <w:rFonts w:cs="Times New Roman"/>
      </w:rPr>
      <w:fldChar w:fldCharType="end"/>
    </w:r>
  </w:p>
  <w:p w14:paraId="660AAD91" w14:textId="77777777" w:rsidR="002608DC" w:rsidRPr="00E668BF" w:rsidRDefault="002608DC" w:rsidP="00E668BF">
    <w:pPr>
      <w:tabs>
        <w:tab w:val="right" w:pos="9360"/>
      </w:tabs>
      <w:rPr>
        <w:rFonts w:cs="Times New Roman"/>
        <w:sz w:val="18"/>
        <w:szCs w:val="18"/>
      </w:rPr>
    </w:pPr>
    <w:r w:rsidRPr="00E668BF">
      <w:rPr>
        <w:rFonts w:cs="Times New Roman"/>
        <w:sz w:val="18"/>
        <w:szCs w:val="18"/>
      </w:rPr>
      <w:t xml:space="preserve">© Copyright </w:t>
    </w:r>
    <w:r w:rsidR="00FF082B">
      <w:rPr>
        <w:rFonts w:cs="Times New Roman"/>
        <w:sz w:val="18"/>
        <w:szCs w:val="18"/>
      </w:rPr>
      <w:t>2024</w:t>
    </w:r>
    <w:r w:rsidR="00FF082B" w:rsidRPr="00E668BF">
      <w:rPr>
        <w:rFonts w:cs="Times New Roman"/>
        <w:sz w:val="18"/>
        <w:szCs w:val="18"/>
      </w:rPr>
      <w:t xml:space="preserve"> </w:t>
    </w:r>
    <w:r w:rsidRPr="00E668BF">
      <w:rPr>
        <w:rFonts w:cs="Times New Roman"/>
        <w:sz w:val="18"/>
        <w:szCs w:val="18"/>
      </w:rPr>
      <w:t xml:space="preserve">by </w:t>
    </w:r>
    <w:smartTag w:uri="urn:schemas-microsoft-com:office:smarttags" w:element="date">
      <w:smartTag w:uri="urn:schemas-microsoft-com:office:smarttags" w:element="PersonName">
        <w:r w:rsidRPr="00E668BF">
          <w:rPr>
            <w:rFonts w:cs="Times New Roman"/>
            <w:sz w:val="18"/>
            <w:szCs w:val="18"/>
          </w:rPr>
          <w:t>Nan McKay</w:t>
        </w:r>
      </w:smartTag>
    </w:smartTag>
    <w:r w:rsidRPr="00E668BF">
      <w:rPr>
        <w:rFonts w:cs="Times New Roman"/>
        <w:sz w:val="18"/>
        <w:szCs w:val="18"/>
      </w:rPr>
      <w:t xml:space="preserve"> &amp; Associates</w:t>
    </w:r>
    <w:r w:rsidRPr="00E668BF">
      <w:rPr>
        <w:rFonts w:cs="Times New Roman"/>
        <w:sz w:val="18"/>
        <w:szCs w:val="18"/>
      </w:rPr>
      <w:tab/>
      <w:t xml:space="preserve">ACOP </w:t>
    </w:r>
    <w:r w:rsidR="00FF082B">
      <w:rPr>
        <w:rFonts w:cs="Times New Roman"/>
        <w:sz w:val="18"/>
        <w:szCs w:val="18"/>
      </w:rPr>
      <w:t>11/1/24</w:t>
    </w:r>
  </w:p>
  <w:p w14:paraId="42B18A5D" w14:textId="77777777" w:rsidR="002608DC" w:rsidRPr="00E668BF" w:rsidRDefault="002608DC" w:rsidP="00E668BF">
    <w:pPr>
      <w:tabs>
        <w:tab w:val="right" w:pos="9360"/>
      </w:tabs>
      <w:rPr>
        <w:rFonts w:cs="Times New Roman"/>
        <w:sz w:val="18"/>
        <w:szCs w:val="18"/>
      </w:rPr>
    </w:pPr>
    <w:r w:rsidRPr="00E668BF">
      <w:rPr>
        <w:rFonts w:cs="Times New Roman"/>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95003" w14:textId="77777777" w:rsidR="00802826" w:rsidRDefault="00802826">
      <w:r>
        <w:separator/>
      </w:r>
    </w:p>
  </w:footnote>
  <w:footnote w:type="continuationSeparator" w:id="0">
    <w:p w14:paraId="430F201D" w14:textId="77777777" w:rsidR="00802826" w:rsidRDefault="00802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8E5D73"/>
    <w:multiLevelType w:val="hybridMultilevel"/>
    <w:tmpl w:val="77B4D3B4"/>
    <w:lvl w:ilvl="0" w:tplc="FFFFFFFF">
      <w:start w:val="1"/>
      <w:numFmt w:val="bullet"/>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28690024">
    <w:abstractNumId w:val="1"/>
  </w:num>
  <w:num w:numId="2" w16cid:durableId="777530689">
    <w:abstractNumId w:val="0"/>
  </w:num>
  <w:num w:numId="3" w16cid:durableId="158768986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activeWritingStyle w:appName="MSWord" w:lang="en-US" w:vendorID="64" w:dllVersion="131078"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4DFA"/>
    <w:rsid w:val="000043C5"/>
    <w:rsid w:val="00004AF8"/>
    <w:rsid w:val="00015101"/>
    <w:rsid w:val="00030246"/>
    <w:rsid w:val="0008298F"/>
    <w:rsid w:val="000A32E1"/>
    <w:rsid w:val="000B4153"/>
    <w:rsid w:val="000B4907"/>
    <w:rsid w:val="000D167B"/>
    <w:rsid w:val="001101C5"/>
    <w:rsid w:val="001263C4"/>
    <w:rsid w:val="0012734A"/>
    <w:rsid w:val="00134EBF"/>
    <w:rsid w:val="00154B40"/>
    <w:rsid w:val="00165ED5"/>
    <w:rsid w:val="001672A1"/>
    <w:rsid w:val="00176F8F"/>
    <w:rsid w:val="00183003"/>
    <w:rsid w:val="001A45BB"/>
    <w:rsid w:val="001B7F56"/>
    <w:rsid w:val="001D24B1"/>
    <w:rsid w:val="001F3035"/>
    <w:rsid w:val="00204125"/>
    <w:rsid w:val="00207FB1"/>
    <w:rsid w:val="002121DE"/>
    <w:rsid w:val="00241A15"/>
    <w:rsid w:val="002608DC"/>
    <w:rsid w:val="002870C7"/>
    <w:rsid w:val="0029052A"/>
    <w:rsid w:val="002964F1"/>
    <w:rsid w:val="002977B0"/>
    <w:rsid w:val="002C23DE"/>
    <w:rsid w:val="002F5212"/>
    <w:rsid w:val="00304FFA"/>
    <w:rsid w:val="00306686"/>
    <w:rsid w:val="003066FA"/>
    <w:rsid w:val="003175BC"/>
    <w:rsid w:val="003200C5"/>
    <w:rsid w:val="00334FED"/>
    <w:rsid w:val="003544E5"/>
    <w:rsid w:val="00365922"/>
    <w:rsid w:val="00380986"/>
    <w:rsid w:val="00384127"/>
    <w:rsid w:val="0038632E"/>
    <w:rsid w:val="00392E19"/>
    <w:rsid w:val="003A09D0"/>
    <w:rsid w:val="003A09FE"/>
    <w:rsid w:val="003A0D97"/>
    <w:rsid w:val="003B1B8D"/>
    <w:rsid w:val="003B7C3D"/>
    <w:rsid w:val="003F6B9F"/>
    <w:rsid w:val="003F7ABF"/>
    <w:rsid w:val="0041577D"/>
    <w:rsid w:val="00415837"/>
    <w:rsid w:val="00434BAB"/>
    <w:rsid w:val="004375B1"/>
    <w:rsid w:val="004406CA"/>
    <w:rsid w:val="0044399D"/>
    <w:rsid w:val="004466CB"/>
    <w:rsid w:val="00454230"/>
    <w:rsid w:val="00454FF8"/>
    <w:rsid w:val="00461496"/>
    <w:rsid w:val="004674FF"/>
    <w:rsid w:val="004779BB"/>
    <w:rsid w:val="00480D70"/>
    <w:rsid w:val="004932E9"/>
    <w:rsid w:val="004A14E7"/>
    <w:rsid w:val="004F3E00"/>
    <w:rsid w:val="00501AEC"/>
    <w:rsid w:val="00513153"/>
    <w:rsid w:val="00523542"/>
    <w:rsid w:val="00526208"/>
    <w:rsid w:val="0054128F"/>
    <w:rsid w:val="0055394F"/>
    <w:rsid w:val="005557EB"/>
    <w:rsid w:val="005578D9"/>
    <w:rsid w:val="005968E5"/>
    <w:rsid w:val="005A63C2"/>
    <w:rsid w:val="005D0B3D"/>
    <w:rsid w:val="005D30D8"/>
    <w:rsid w:val="005E496B"/>
    <w:rsid w:val="005E4AE9"/>
    <w:rsid w:val="005F7349"/>
    <w:rsid w:val="00603A88"/>
    <w:rsid w:val="00604644"/>
    <w:rsid w:val="006077BC"/>
    <w:rsid w:val="00614453"/>
    <w:rsid w:val="006235DF"/>
    <w:rsid w:val="00647100"/>
    <w:rsid w:val="006648BA"/>
    <w:rsid w:val="00667850"/>
    <w:rsid w:val="00670805"/>
    <w:rsid w:val="00696C8B"/>
    <w:rsid w:val="006C406B"/>
    <w:rsid w:val="006C711F"/>
    <w:rsid w:val="006D3FBE"/>
    <w:rsid w:val="006D69E1"/>
    <w:rsid w:val="006F572F"/>
    <w:rsid w:val="00711919"/>
    <w:rsid w:val="00711E02"/>
    <w:rsid w:val="007242E4"/>
    <w:rsid w:val="007249FA"/>
    <w:rsid w:val="00725CF4"/>
    <w:rsid w:val="00731386"/>
    <w:rsid w:val="007359A8"/>
    <w:rsid w:val="0075367A"/>
    <w:rsid w:val="00762D20"/>
    <w:rsid w:val="00777695"/>
    <w:rsid w:val="00787097"/>
    <w:rsid w:val="007B10B4"/>
    <w:rsid w:val="007D1E0D"/>
    <w:rsid w:val="007D1FC2"/>
    <w:rsid w:val="007E1CDB"/>
    <w:rsid w:val="007E521F"/>
    <w:rsid w:val="007F4C46"/>
    <w:rsid w:val="007F5B38"/>
    <w:rsid w:val="00801CA5"/>
    <w:rsid w:val="00802826"/>
    <w:rsid w:val="00816EDC"/>
    <w:rsid w:val="00844CF6"/>
    <w:rsid w:val="0084642E"/>
    <w:rsid w:val="00861924"/>
    <w:rsid w:val="008A20FB"/>
    <w:rsid w:val="008A5CE5"/>
    <w:rsid w:val="008B49A7"/>
    <w:rsid w:val="008E1A4F"/>
    <w:rsid w:val="008E2D65"/>
    <w:rsid w:val="008E4701"/>
    <w:rsid w:val="008F0C55"/>
    <w:rsid w:val="00904DC9"/>
    <w:rsid w:val="00942BCF"/>
    <w:rsid w:val="00954F9F"/>
    <w:rsid w:val="00955FCE"/>
    <w:rsid w:val="00956E57"/>
    <w:rsid w:val="009679A3"/>
    <w:rsid w:val="00973EE0"/>
    <w:rsid w:val="00982D75"/>
    <w:rsid w:val="009916B7"/>
    <w:rsid w:val="009A16E5"/>
    <w:rsid w:val="009A78E1"/>
    <w:rsid w:val="009C48D8"/>
    <w:rsid w:val="009C4E79"/>
    <w:rsid w:val="009D0DAC"/>
    <w:rsid w:val="009D6F15"/>
    <w:rsid w:val="009E2317"/>
    <w:rsid w:val="009F69D6"/>
    <w:rsid w:val="00A01442"/>
    <w:rsid w:val="00A154E4"/>
    <w:rsid w:val="00A22987"/>
    <w:rsid w:val="00A33435"/>
    <w:rsid w:val="00A427DF"/>
    <w:rsid w:val="00A42CF0"/>
    <w:rsid w:val="00A4388F"/>
    <w:rsid w:val="00A466AE"/>
    <w:rsid w:val="00A54CE7"/>
    <w:rsid w:val="00A6240F"/>
    <w:rsid w:val="00A700B8"/>
    <w:rsid w:val="00A84824"/>
    <w:rsid w:val="00A97743"/>
    <w:rsid w:val="00AA1101"/>
    <w:rsid w:val="00AC4545"/>
    <w:rsid w:val="00AE68E1"/>
    <w:rsid w:val="00AF444E"/>
    <w:rsid w:val="00B05BF5"/>
    <w:rsid w:val="00B07E46"/>
    <w:rsid w:val="00B432B6"/>
    <w:rsid w:val="00B5004A"/>
    <w:rsid w:val="00B649B5"/>
    <w:rsid w:val="00B722A2"/>
    <w:rsid w:val="00B76806"/>
    <w:rsid w:val="00B80C04"/>
    <w:rsid w:val="00B85EA6"/>
    <w:rsid w:val="00B94DFA"/>
    <w:rsid w:val="00BA0E7C"/>
    <w:rsid w:val="00BA4C50"/>
    <w:rsid w:val="00BB4C90"/>
    <w:rsid w:val="00BB7B44"/>
    <w:rsid w:val="00BC7C46"/>
    <w:rsid w:val="00BD4C15"/>
    <w:rsid w:val="00BD6439"/>
    <w:rsid w:val="00BD7A6F"/>
    <w:rsid w:val="00BD7DBB"/>
    <w:rsid w:val="00C05BFD"/>
    <w:rsid w:val="00C20FDC"/>
    <w:rsid w:val="00C24E08"/>
    <w:rsid w:val="00C257FD"/>
    <w:rsid w:val="00C35D44"/>
    <w:rsid w:val="00C36BF9"/>
    <w:rsid w:val="00C40333"/>
    <w:rsid w:val="00C5188B"/>
    <w:rsid w:val="00C55765"/>
    <w:rsid w:val="00C55E3A"/>
    <w:rsid w:val="00C71361"/>
    <w:rsid w:val="00C90E4B"/>
    <w:rsid w:val="00C9164E"/>
    <w:rsid w:val="00CA2B0A"/>
    <w:rsid w:val="00CB157C"/>
    <w:rsid w:val="00CC1F8C"/>
    <w:rsid w:val="00CD11CB"/>
    <w:rsid w:val="00CD2F79"/>
    <w:rsid w:val="00D063E3"/>
    <w:rsid w:val="00D20D3C"/>
    <w:rsid w:val="00D23A13"/>
    <w:rsid w:val="00D5597D"/>
    <w:rsid w:val="00D55D12"/>
    <w:rsid w:val="00D67713"/>
    <w:rsid w:val="00D83023"/>
    <w:rsid w:val="00D87317"/>
    <w:rsid w:val="00DA28C6"/>
    <w:rsid w:val="00DA5DD0"/>
    <w:rsid w:val="00DA60F1"/>
    <w:rsid w:val="00DB10C1"/>
    <w:rsid w:val="00DB6BE4"/>
    <w:rsid w:val="00DC2E74"/>
    <w:rsid w:val="00DC342C"/>
    <w:rsid w:val="00DD12E9"/>
    <w:rsid w:val="00E20F95"/>
    <w:rsid w:val="00E2109B"/>
    <w:rsid w:val="00E23A0B"/>
    <w:rsid w:val="00E33E15"/>
    <w:rsid w:val="00E44A9C"/>
    <w:rsid w:val="00E60E1C"/>
    <w:rsid w:val="00E6608D"/>
    <w:rsid w:val="00E668BF"/>
    <w:rsid w:val="00E777A1"/>
    <w:rsid w:val="00E87D23"/>
    <w:rsid w:val="00E90A31"/>
    <w:rsid w:val="00EB04E7"/>
    <w:rsid w:val="00ED1193"/>
    <w:rsid w:val="00ED7319"/>
    <w:rsid w:val="00EE3FF5"/>
    <w:rsid w:val="00EE67AC"/>
    <w:rsid w:val="00EF577A"/>
    <w:rsid w:val="00EF69E5"/>
    <w:rsid w:val="00F00668"/>
    <w:rsid w:val="00F106CA"/>
    <w:rsid w:val="00F10D4A"/>
    <w:rsid w:val="00F33DE7"/>
    <w:rsid w:val="00F65424"/>
    <w:rsid w:val="00F65F27"/>
    <w:rsid w:val="00F72436"/>
    <w:rsid w:val="00F73879"/>
    <w:rsid w:val="00F75B6A"/>
    <w:rsid w:val="00FB410C"/>
    <w:rsid w:val="00FC0EDC"/>
    <w:rsid w:val="00FC17DF"/>
    <w:rsid w:val="00FD2355"/>
    <w:rsid w:val="00FD5846"/>
    <w:rsid w:val="00FF082B"/>
    <w:rsid w:val="00FF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050"/>
    <o:shapelayout v:ext="edit">
      <o:idmap v:ext="edit" data="1"/>
    </o:shapelayout>
  </w:shapeDefaults>
  <w:decimalSymbol w:val="."/>
  <w:listSeparator w:val=","/>
  <w14:docId w14:val="40A2B887"/>
  <w15:chartTrackingRefBased/>
  <w15:docId w15:val="{7A74382E-80B4-4A96-A09F-E30E930CB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68BF"/>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C55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7242E4"/>
    <w:rPr>
      <w:rFonts w:ascii="Tahoma" w:hAnsi="Tahoma" w:cs="Tahoma"/>
      <w:sz w:val="16"/>
      <w:szCs w:val="16"/>
    </w:rPr>
  </w:style>
  <w:style w:type="paragraph" w:styleId="HTMLPreformatted">
    <w:name w:val="HTML Preformatted"/>
    <w:basedOn w:val="Normal"/>
    <w:rsid w:val="00E90A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PageNumber">
    <w:name w:val="page number"/>
    <w:basedOn w:val="DefaultParagraphFont"/>
    <w:rsid w:val="00670805"/>
  </w:style>
  <w:style w:type="paragraph" w:styleId="Header">
    <w:name w:val="header"/>
    <w:basedOn w:val="Normal"/>
    <w:rsid w:val="00E668BF"/>
    <w:pPr>
      <w:tabs>
        <w:tab w:val="center" w:pos="4320"/>
        <w:tab w:val="right" w:pos="8640"/>
      </w:tabs>
    </w:pPr>
  </w:style>
  <w:style w:type="paragraph" w:styleId="Footer">
    <w:name w:val="footer"/>
    <w:basedOn w:val="Normal"/>
    <w:rsid w:val="00E668BF"/>
    <w:pPr>
      <w:tabs>
        <w:tab w:val="center" w:pos="4320"/>
        <w:tab w:val="right" w:pos="8640"/>
      </w:tabs>
    </w:pPr>
  </w:style>
  <w:style w:type="paragraph" w:customStyle="1" w:styleId="MarginBulletCharChar">
    <w:name w:val="Margin Bullet Char Char"/>
    <w:basedOn w:val="Normal"/>
    <w:rsid w:val="00E668BF"/>
    <w:pPr>
      <w:numPr>
        <w:numId w:val="1"/>
      </w:numPr>
      <w:tabs>
        <w:tab w:val="left" w:pos="360"/>
        <w:tab w:val="left" w:pos="1440"/>
      </w:tabs>
      <w:spacing w:before="120"/>
    </w:pPr>
    <w:rPr>
      <w:rFonts w:cs="Times New Roman"/>
    </w:rPr>
  </w:style>
  <w:style w:type="paragraph" w:styleId="Revision">
    <w:name w:val="Revision"/>
    <w:hidden/>
    <w:uiPriority w:val="99"/>
    <w:semiHidden/>
    <w:rsid w:val="0008298F"/>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04923">
      <w:bodyDiv w:val="1"/>
      <w:marLeft w:val="0"/>
      <w:marRight w:val="0"/>
      <w:marTop w:val="0"/>
      <w:marBottom w:val="0"/>
      <w:divBdr>
        <w:top w:val="none" w:sz="0" w:space="0" w:color="auto"/>
        <w:left w:val="none" w:sz="0" w:space="0" w:color="auto"/>
        <w:bottom w:val="none" w:sz="0" w:space="0" w:color="auto"/>
        <w:right w:val="none" w:sz="0" w:space="0" w:color="auto"/>
      </w:divBdr>
    </w:div>
    <w:div w:id="1215585419">
      <w:bodyDiv w:val="1"/>
      <w:marLeft w:val="0"/>
      <w:marRight w:val="0"/>
      <w:marTop w:val="0"/>
      <w:marBottom w:val="0"/>
      <w:divBdr>
        <w:top w:val="none" w:sz="0" w:space="0" w:color="auto"/>
        <w:left w:val="none" w:sz="0" w:space="0" w:color="auto"/>
        <w:bottom w:val="none" w:sz="0" w:space="0" w:color="auto"/>
        <w:right w:val="none" w:sz="0" w:space="0" w:color="auto"/>
      </w:divBdr>
    </w:div>
    <w:div w:id="187815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2217</Words>
  <Characters>12640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Chapter 5: Occupancy Standards &amp; Unit Offers</vt:lpstr>
    </vt:vector>
  </TitlesOfParts>
  <Company>Nan McKay and Associates</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Occupancy Standards &amp; Unit Offers</dc:title>
  <dc:subject/>
  <dc:creator>Emily Frampton</dc:creator>
  <cp:keywords/>
  <cp:lastModifiedBy>Kaylene Holvenstot</cp:lastModifiedBy>
  <cp:revision>2</cp:revision>
  <cp:lastPrinted>2023-03-02T01:31:00Z</cp:lastPrinted>
  <dcterms:created xsi:type="dcterms:W3CDTF">2025-08-29T20:21:00Z</dcterms:created>
  <dcterms:modified xsi:type="dcterms:W3CDTF">2025-08-29T20:21:00Z</dcterms:modified>
</cp:coreProperties>
</file>